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A0" w:rsidRPr="00AF6F54" w:rsidRDefault="00985D22" w:rsidP="009326A0">
      <w:pPr>
        <w:spacing w:after="200" w:line="276" w:lineRule="auto"/>
        <w:jc w:val="center"/>
        <w:rPr>
          <w:rFonts w:ascii="Times New Roman" w:eastAsia="Calibri" w:hAnsi="Times New Roman" w:cs="Times New Roman"/>
          <w:b/>
          <w:color w:val="000000"/>
          <w:sz w:val="24"/>
          <w:szCs w:val="24"/>
        </w:rPr>
      </w:pPr>
      <w:r w:rsidRPr="00AF6F54">
        <w:rPr>
          <w:rFonts w:ascii="Times New Roman" w:eastAsia="Calibri" w:hAnsi="Times New Roman" w:cs="Times New Roman"/>
          <w:b/>
          <w:color w:val="000000"/>
          <w:sz w:val="24"/>
          <w:szCs w:val="24"/>
        </w:rPr>
        <w:t xml:space="preserve">МЕТОДОЛОГИЈА ЗА ИЗРАЧУНАВАЊЕ ЕФЕКТИВНИХ КУРСЕВА </w:t>
      </w:r>
    </w:p>
    <w:p w:rsidR="00635C49" w:rsidRPr="00AF6F54" w:rsidRDefault="00985D22" w:rsidP="00635C49">
      <w:pPr>
        <w:spacing w:after="200" w:line="276" w:lineRule="auto"/>
        <w:jc w:val="both"/>
        <w:rPr>
          <w:rFonts w:ascii="Times New Roman" w:hAnsi="Times New Roman" w:cs="Times New Roman"/>
          <w:sz w:val="24"/>
          <w:szCs w:val="24"/>
        </w:rPr>
      </w:pPr>
      <w:r w:rsidRPr="00AF6F54">
        <w:rPr>
          <w:rFonts w:ascii="Times New Roman" w:hAnsi="Times New Roman" w:cs="Times New Roman"/>
          <w:sz w:val="24"/>
          <w:szCs w:val="24"/>
        </w:rPr>
        <w:t xml:space="preserve">Номинални ефективни курс (у даљњем тексту NEER) </w:t>
      </w:r>
      <w:r w:rsidR="00635C49" w:rsidRPr="00AF6F54">
        <w:rPr>
          <w:rFonts w:ascii="Times New Roman" w:hAnsi="Times New Roman" w:cs="Times New Roman"/>
          <w:sz w:val="24"/>
          <w:szCs w:val="24"/>
        </w:rPr>
        <w:t xml:space="preserve">је пондерисани просјек билатералних курсева конвертибилне марке Босне и Херцеговине (у даљем тексту </w:t>
      </w:r>
      <w:r w:rsidRPr="00AF6F54">
        <w:rPr>
          <w:rFonts w:ascii="Times New Roman" w:hAnsi="Times New Roman" w:cs="Times New Roman"/>
          <w:sz w:val="24"/>
          <w:szCs w:val="24"/>
        </w:rPr>
        <w:t xml:space="preserve">KM) </w:t>
      </w:r>
      <w:r w:rsidR="00635C49" w:rsidRPr="00AF6F54">
        <w:rPr>
          <w:rFonts w:ascii="Times New Roman" w:hAnsi="Times New Roman" w:cs="Times New Roman"/>
          <w:sz w:val="24"/>
          <w:szCs w:val="24"/>
        </w:rPr>
        <w:t xml:space="preserve">у односу на валуте најзначајнијих </w:t>
      </w:r>
      <w:r w:rsidR="001E6156" w:rsidRPr="00AF6F54">
        <w:rPr>
          <w:rFonts w:ascii="Times New Roman" w:hAnsi="Times New Roman" w:cs="Times New Roman"/>
          <w:sz w:val="24"/>
          <w:szCs w:val="24"/>
          <w:lang w:val="sr-Cyrl-BA"/>
        </w:rPr>
        <w:t>спољн</w:t>
      </w:r>
      <w:r w:rsidR="00635C49" w:rsidRPr="00AF6F54">
        <w:rPr>
          <w:rFonts w:ascii="Times New Roman" w:hAnsi="Times New Roman" w:cs="Times New Roman"/>
          <w:sz w:val="24"/>
          <w:szCs w:val="24"/>
        </w:rPr>
        <w:t xml:space="preserve">отрговинских партнера. </w:t>
      </w:r>
    </w:p>
    <w:p w:rsidR="00985D22" w:rsidRPr="00AF6F54" w:rsidRDefault="00635C49" w:rsidP="00985D22">
      <w:pPr>
        <w:spacing w:after="200" w:line="276" w:lineRule="auto"/>
        <w:jc w:val="both"/>
        <w:rPr>
          <w:rFonts w:ascii="Times New Roman" w:hAnsi="Times New Roman" w:cs="Times New Roman"/>
          <w:sz w:val="24"/>
          <w:szCs w:val="24"/>
        </w:rPr>
      </w:pPr>
      <w:r w:rsidRPr="00AF6F54">
        <w:rPr>
          <w:rFonts w:ascii="Times New Roman" w:hAnsi="Times New Roman" w:cs="Times New Roman"/>
          <w:sz w:val="24"/>
          <w:szCs w:val="24"/>
        </w:rPr>
        <w:t xml:space="preserve">Реални ефективни курс (у даљњем тексту </w:t>
      </w:r>
      <w:r w:rsidR="00985D22" w:rsidRPr="00AF6F54">
        <w:rPr>
          <w:rFonts w:ascii="Times New Roman" w:hAnsi="Times New Roman" w:cs="Times New Roman"/>
          <w:sz w:val="24"/>
          <w:szCs w:val="24"/>
        </w:rPr>
        <w:t xml:space="preserve">REER) </w:t>
      </w:r>
      <w:r w:rsidR="001E6156" w:rsidRPr="00AF6F54">
        <w:rPr>
          <w:rFonts w:ascii="Times New Roman" w:hAnsi="Times New Roman" w:cs="Times New Roman"/>
          <w:sz w:val="24"/>
          <w:szCs w:val="24"/>
          <w:lang w:val="sr-Cyrl-BA"/>
        </w:rPr>
        <w:t xml:space="preserve">се </w:t>
      </w:r>
      <w:r w:rsidRPr="00AF6F54">
        <w:rPr>
          <w:rFonts w:ascii="Times New Roman" w:hAnsi="Times New Roman" w:cs="Times New Roman"/>
          <w:sz w:val="24"/>
          <w:szCs w:val="24"/>
        </w:rPr>
        <w:t xml:space="preserve">дефинише као номинални ефективни курс који је дефлациониран помоћу релативних цијена (индекс потрошачких цијена </w:t>
      </w:r>
      <w:r w:rsidR="00D201E0" w:rsidRPr="00AF6F54">
        <w:rPr>
          <w:rFonts w:ascii="Times New Roman" w:eastAsiaTheme="minorEastAsia" w:hAnsi="Times New Roman" w:cs="Times New Roman"/>
          <w:sz w:val="24"/>
          <w:szCs w:val="24"/>
        </w:rPr>
        <w:t>(</w:t>
      </w:r>
      <w:r w:rsidR="007976EE" w:rsidRPr="00AF6F54">
        <w:rPr>
          <w:rFonts w:ascii="Times New Roman" w:eastAsiaTheme="minorEastAsia" w:hAnsi="Times New Roman" w:cs="Times New Roman"/>
          <w:sz w:val="24"/>
          <w:szCs w:val="24"/>
        </w:rPr>
        <w:t>енгл</w:t>
      </w:r>
      <w:r w:rsidR="00D201E0" w:rsidRPr="00AF6F54">
        <w:rPr>
          <w:rFonts w:ascii="Times New Roman" w:eastAsiaTheme="minorEastAsia" w:hAnsi="Times New Roman" w:cs="Times New Roman"/>
          <w:sz w:val="24"/>
          <w:szCs w:val="24"/>
        </w:rPr>
        <w:t>. Consumer Price Index – CPI))</w:t>
      </w:r>
      <w:r w:rsidRPr="00AF6F54">
        <w:rPr>
          <w:rFonts w:ascii="Times New Roman" w:eastAsiaTheme="minorEastAsia" w:hAnsi="Times New Roman" w:cs="Times New Roman"/>
          <w:sz w:val="24"/>
          <w:szCs w:val="24"/>
        </w:rPr>
        <w:t>,</w:t>
      </w:r>
      <w:r w:rsidR="00D201E0" w:rsidRPr="00AF6F54">
        <w:rPr>
          <w:rFonts w:ascii="Times New Roman" w:eastAsiaTheme="minorEastAsia" w:hAnsi="Times New Roman" w:cs="Times New Roman"/>
          <w:sz w:val="24"/>
          <w:szCs w:val="24"/>
        </w:rPr>
        <w:t xml:space="preserve"> </w:t>
      </w:r>
      <w:r w:rsidRPr="00AF6F54">
        <w:rPr>
          <w:rFonts w:ascii="Times New Roman" w:hAnsi="Times New Roman" w:cs="Times New Roman"/>
          <w:sz w:val="24"/>
          <w:szCs w:val="24"/>
        </w:rPr>
        <w:t xml:space="preserve">индекс цијене произвођачких цијена индустрије </w:t>
      </w:r>
      <w:r w:rsidR="00D201E0" w:rsidRPr="00AF6F54">
        <w:rPr>
          <w:rFonts w:ascii="Times New Roman" w:eastAsiaTheme="minorEastAsia" w:hAnsi="Times New Roman" w:cs="Times New Roman"/>
          <w:sz w:val="24"/>
          <w:szCs w:val="24"/>
        </w:rPr>
        <w:t>(</w:t>
      </w:r>
      <w:r w:rsidR="007976EE" w:rsidRPr="00AF6F54">
        <w:rPr>
          <w:rFonts w:ascii="Times New Roman" w:eastAsiaTheme="minorEastAsia" w:hAnsi="Times New Roman" w:cs="Times New Roman"/>
          <w:sz w:val="24"/>
          <w:szCs w:val="24"/>
        </w:rPr>
        <w:t>енгл</w:t>
      </w:r>
      <w:r w:rsidR="00D201E0" w:rsidRPr="00AF6F54">
        <w:rPr>
          <w:rFonts w:ascii="Times New Roman" w:eastAsiaTheme="minorEastAsia" w:hAnsi="Times New Roman" w:cs="Times New Roman"/>
          <w:sz w:val="24"/>
          <w:szCs w:val="24"/>
        </w:rPr>
        <w:t>. Producer Price Index – PPI)</w:t>
      </w:r>
      <w:r w:rsidR="00985D22" w:rsidRPr="00AF6F54">
        <w:rPr>
          <w:rFonts w:ascii="Times New Roman" w:hAnsi="Times New Roman" w:cs="Times New Roman"/>
          <w:sz w:val="24"/>
          <w:szCs w:val="24"/>
        </w:rPr>
        <w:t xml:space="preserve">), </w:t>
      </w:r>
      <w:r w:rsidRPr="00AF6F54">
        <w:rPr>
          <w:rFonts w:ascii="Times New Roman" w:hAnsi="Times New Roman" w:cs="Times New Roman"/>
          <w:sz w:val="24"/>
          <w:szCs w:val="24"/>
        </w:rPr>
        <w:t>у домаћој економији и економијама трговинских партнера деноминиране у јединственој валути.</w:t>
      </w:r>
    </w:p>
    <w:p w:rsidR="009326A0" w:rsidRPr="00AF6F54" w:rsidRDefault="00985D22" w:rsidP="009326A0">
      <w:pPr>
        <w:pStyle w:val="Heading1"/>
        <w:rPr>
          <w:lang w:val="bs-Latn-BA"/>
        </w:rPr>
      </w:pPr>
      <w:r w:rsidRPr="00AF6F54">
        <w:rPr>
          <w:lang w:val="bs-Latn-BA"/>
        </w:rPr>
        <w:t xml:space="preserve">Номинални ефективни курс </w:t>
      </w:r>
      <w:r w:rsidR="009326A0" w:rsidRPr="00AF6F54">
        <w:rPr>
          <w:lang w:val="bs-Latn-BA"/>
        </w:rPr>
        <w:t>(NEER)</w:t>
      </w:r>
    </w:p>
    <w:p w:rsidR="009326A0" w:rsidRPr="00AF6F54" w:rsidRDefault="00985D22" w:rsidP="009326A0">
      <w:pPr>
        <w:pStyle w:val="Heading2"/>
        <w:ind w:firstLine="360"/>
        <w:rPr>
          <w:lang w:val="bs-Latn-BA"/>
        </w:rPr>
      </w:pPr>
      <w:r w:rsidRPr="00AF6F54">
        <w:rPr>
          <w:lang w:val="bs-Latn-BA"/>
        </w:rPr>
        <w:t>Метод израчуна</w:t>
      </w:r>
    </w:p>
    <w:p w:rsidR="009326A0" w:rsidRPr="00AF6F54" w:rsidRDefault="00AF6F54" w:rsidP="009326A0">
      <m:oMathPara>
        <m:oMath>
          <m:sSup>
            <m:sSupPr>
              <m:ctrlPr>
                <w:rPr>
                  <w:rFonts w:ascii="Cambria Math" w:hAnsi="Cambria Math"/>
                  <w:i/>
                </w:rPr>
              </m:ctrlPr>
            </m:sSupPr>
            <m:e>
              <m:r>
                <w:rPr>
                  <w:rFonts w:ascii="Cambria Math" w:hAnsi="Cambria Math"/>
                </w:rPr>
                <m:t>NEER</m:t>
              </m:r>
            </m:e>
            <m:sup>
              <m:r>
                <w:rPr>
                  <w:rFonts w:ascii="Cambria Math" w:hAnsi="Cambria Math"/>
                </w:rPr>
                <m:t>t</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KM,i</m:t>
                  </m:r>
                </m:sub>
                <m:sup>
                  <m:r>
                    <w:rPr>
                      <w:rFonts w:ascii="Cambria Math" w:hAnsi="Cambria Math"/>
                    </w:rPr>
                    <m:t>t</m:t>
                  </m:r>
                </m:sup>
              </m:sSubSup>
              <m:sSup>
                <m:sSupPr>
                  <m:ctrlPr>
                    <w:rPr>
                      <w:rFonts w:ascii="Cambria Math" w:hAnsi="Cambria Math"/>
                      <w:i/>
                    </w:rPr>
                  </m:ctrlPr>
                </m:sSupPr>
                <m:e>
                  <m:r>
                    <w:rPr>
                      <w:rFonts w:ascii="Cambria Math" w:hAnsi="Cambria Math"/>
                    </w:rPr>
                    <m:t>)</m:t>
                  </m:r>
                </m:e>
                <m:sup>
                  <m:sSub>
                    <m:sSubPr>
                      <m:ctrlPr>
                        <w:rPr>
                          <w:rFonts w:ascii="Cambria Math" w:hAnsi="Cambria Math"/>
                          <w:i/>
                        </w:rPr>
                      </m:ctrlPr>
                    </m:sSubPr>
                    <m:e>
                      <m:r>
                        <w:rPr>
                          <w:rFonts w:ascii="Cambria Math" w:hAnsi="Cambria Math"/>
                        </w:rPr>
                        <m:t>w</m:t>
                      </m:r>
                    </m:e>
                    <m:sub>
                      <m:r>
                        <w:rPr>
                          <w:rFonts w:ascii="Cambria Math" w:hAnsi="Cambria Math"/>
                        </w:rPr>
                        <m:t>i</m:t>
                      </m:r>
                    </m:sub>
                  </m:sSub>
                </m:sup>
              </m:sSup>
            </m:e>
          </m:nary>
        </m:oMath>
      </m:oMathPara>
    </w:p>
    <w:p w:rsidR="00985D22" w:rsidRPr="00AF6F54" w:rsidRDefault="00985D22" w:rsidP="00985D22">
      <w:pPr>
        <w:jc w:val="both"/>
        <w:rPr>
          <w:rFonts w:ascii="Times New Roman" w:hAnsi="Times New Roman" w:cs="Times New Roman"/>
          <w:sz w:val="24"/>
          <w:szCs w:val="24"/>
        </w:rPr>
      </w:pPr>
      <w:r w:rsidRPr="00AF6F54">
        <w:rPr>
          <w:rFonts w:ascii="Times New Roman" w:hAnsi="Times New Roman" w:cs="Times New Roman"/>
          <w:sz w:val="24"/>
          <w:szCs w:val="24"/>
        </w:rPr>
        <w:t>Гдје N представља број земаља у референтној скупини трговинских партнера,</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KM, i</m:t>
            </m:r>
          </m:sub>
          <m:sup>
            <m:r>
              <w:rPr>
                <w:rFonts w:ascii="Cambria Math" w:hAnsi="Cambria Math" w:cs="Times New Roman"/>
                <w:sz w:val="24"/>
                <w:szCs w:val="24"/>
              </w:rPr>
              <m:t>t</m:t>
            </m:r>
          </m:sup>
        </m:sSubSup>
      </m:oMath>
      <w:r w:rsidRPr="00AF6F54">
        <w:rPr>
          <w:rFonts w:ascii="Times New Roman" w:hAnsi="Times New Roman" w:cs="Times New Roman"/>
          <w:sz w:val="24"/>
          <w:szCs w:val="24"/>
        </w:rPr>
        <w:t xml:space="preserve"> је индекс просјечног курса валуте </w:t>
      </w:r>
      <w:r w:rsidR="00EE67EC" w:rsidRPr="00AF6F54">
        <w:rPr>
          <w:rFonts w:ascii="Times New Roman" w:eastAsiaTheme="minorEastAsia" w:hAnsi="Times New Roman" w:cs="Times New Roman"/>
          <w:sz w:val="24"/>
          <w:szCs w:val="24"/>
        </w:rPr>
        <w:t>KM</w:t>
      </w:r>
      <w:r w:rsidR="00EE67EC" w:rsidRPr="00AF6F54">
        <w:rPr>
          <w:rFonts w:ascii="Times New Roman" w:hAnsi="Times New Roman" w:cs="Times New Roman"/>
          <w:sz w:val="24"/>
          <w:szCs w:val="24"/>
        </w:rPr>
        <w:t xml:space="preserve"> </w:t>
      </w:r>
      <w:r w:rsidR="001E6156" w:rsidRPr="00AF6F54">
        <w:rPr>
          <w:rFonts w:ascii="Times New Roman" w:hAnsi="Times New Roman" w:cs="Times New Roman"/>
          <w:sz w:val="24"/>
          <w:szCs w:val="24"/>
        </w:rPr>
        <w:t>vis</w:t>
      </w:r>
      <w:r w:rsidRPr="00AF6F54">
        <w:rPr>
          <w:rFonts w:ascii="Times New Roman" w:hAnsi="Times New Roman" w:cs="Times New Roman"/>
          <w:sz w:val="24"/>
          <w:szCs w:val="24"/>
        </w:rPr>
        <w:t>–à–</w:t>
      </w:r>
      <w:r w:rsidR="001E6156" w:rsidRPr="00AF6F54">
        <w:rPr>
          <w:rFonts w:ascii="Times New Roman" w:hAnsi="Times New Roman" w:cs="Times New Roman"/>
          <w:sz w:val="24"/>
          <w:szCs w:val="24"/>
        </w:rPr>
        <w:t>vis</w:t>
      </w:r>
      <w:r w:rsidRPr="00AF6F54">
        <w:rPr>
          <w:rFonts w:ascii="Times New Roman" w:hAnsi="Times New Roman" w:cs="Times New Roman"/>
          <w:sz w:val="24"/>
          <w:szCs w:val="24"/>
        </w:rPr>
        <w:t xml:space="preserve"> земље партнера </w:t>
      </w:r>
      <w:r w:rsidR="00EE67EC" w:rsidRPr="00AF6F54">
        <w:rPr>
          <w:rFonts w:ascii="Times New Roman" w:hAnsi="Times New Roman" w:cs="Times New Roman"/>
          <w:i/>
          <w:sz w:val="24"/>
          <w:szCs w:val="24"/>
        </w:rPr>
        <w:t>i</w:t>
      </w:r>
      <w:r w:rsidRPr="00AF6F54">
        <w:rPr>
          <w:rFonts w:ascii="Times New Roman" w:hAnsi="Times New Roman" w:cs="Times New Roman"/>
          <w:sz w:val="24"/>
          <w:szCs w:val="24"/>
        </w:rPr>
        <w:t xml:space="preserve">, у периоду </w:t>
      </w:r>
      <w:r w:rsidR="00EE67EC" w:rsidRPr="00AF6F54">
        <w:rPr>
          <w:rFonts w:ascii="Times New Roman" w:eastAsiaTheme="minorEastAsia" w:hAnsi="Times New Roman" w:cs="Times New Roman"/>
          <w:i/>
          <w:sz w:val="24"/>
          <w:szCs w:val="24"/>
        </w:rPr>
        <w:t>t</w:t>
      </w:r>
      <w:r w:rsidRPr="00AF6F54">
        <w:rPr>
          <w:rFonts w:ascii="Times New Roman" w:hAnsi="Times New Roman" w:cs="Times New Roman"/>
          <w:sz w:val="24"/>
          <w:szCs w:val="24"/>
        </w:rPr>
        <w:t xml:space="preserve"> (изражено у броју јединица домаће валуте у односу на страну валуту) 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oMath>
      <w:r w:rsidRPr="00AF6F54">
        <w:rPr>
          <w:rFonts w:ascii="Times New Roman" w:hAnsi="Times New Roman" w:cs="Times New Roman"/>
          <w:sz w:val="24"/>
          <w:szCs w:val="24"/>
        </w:rPr>
        <w:t xml:space="preserve"> представља пондер додијељен валути трговинског партнера </w:t>
      </w:r>
      <w:r w:rsidR="00EE67EC" w:rsidRPr="00AF6F54">
        <w:rPr>
          <w:rFonts w:ascii="Times New Roman" w:eastAsiaTheme="minorEastAsia" w:hAnsi="Times New Roman" w:cs="Times New Roman"/>
          <w:i/>
          <w:sz w:val="24"/>
          <w:szCs w:val="24"/>
        </w:rPr>
        <w:t>i</w:t>
      </w:r>
      <w:r w:rsidRPr="00AF6F54">
        <w:rPr>
          <w:rFonts w:ascii="Times New Roman" w:hAnsi="Times New Roman" w:cs="Times New Roman"/>
          <w:sz w:val="24"/>
          <w:szCs w:val="24"/>
        </w:rPr>
        <w:t xml:space="preserve">. </w:t>
      </w:r>
    </w:p>
    <w:p w:rsidR="00985D22" w:rsidRPr="00AF6F54" w:rsidRDefault="00985D22" w:rsidP="00985D22">
      <w:pPr>
        <w:jc w:val="both"/>
        <w:rPr>
          <w:rFonts w:ascii="Times New Roman" w:hAnsi="Times New Roman" w:cs="Times New Roman"/>
          <w:sz w:val="24"/>
          <w:szCs w:val="24"/>
        </w:rPr>
      </w:pPr>
      <w:r w:rsidRPr="00AF6F54">
        <w:rPr>
          <w:rFonts w:ascii="Times New Roman" w:hAnsi="Times New Roman" w:cs="Times New Roman"/>
          <w:sz w:val="24"/>
          <w:szCs w:val="24"/>
        </w:rPr>
        <w:t>Два е</w:t>
      </w:r>
      <w:r w:rsidR="00E94B7C" w:rsidRPr="00AF6F54">
        <w:rPr>
          <w:rFonts w:ascii="Times New Roman" w:hAnsi="Times New Roman" w:cs="Times New Roman"/>
          <w:sz w:val="24"/>
          <w:szCs w:val="24"/>
        </w:rPr>
        <w:t>лемента су неопходна за правил</w:t>
      </w:r>
      <w:r w:rsidR="00E94B7C" w:rsidRPr="00AF6F54">
        <w:rPr>
          <w:rFonts w:ascii="Times New Roman" w:hAnsi="Times New Roman" w:cs="Times New Roman"/>
          <w:sz w:val="24"/>
          <w:szCs w:val="24"/>
          <w:lang w:val="sr-Cyrl-BA"/>
        </w:rPr>
        <w:t>но</w:t>
      </w:r>
      <w:r w:rsidRPr="00AF6F54">
        <w:rPr>
          <w:rFonts w:ascii="Times New Roman" w:hAnsi="Times New Roman" w:cs="Times New Roman"/>
          <w:sz w:val="24"/>
          <w:szCs w:val="24"/>
        </w:rPr>
        <w:t xml:space="preserve"> израчун</w:t>
      </w:r>
      <w:r w:rsidR="00E94B7C" w:rsidRPr="00AF6F54">
        <w:rPr>
          <w:rFonts w:ascii="Times New Roman" w:hAnsi="Times New Roman" w:cs="Times New Roman"/>
          <w:sz w:val="24"/>
          <w:szCs w:val="24"/>
          <w:lang w:val="sr-Cyrl-BA"/>
        </w:rPr>
        <w:t>авање</w:t>
      </w:r>
      <w:r w:rsidRPr="00AF6F54">
        <w:rPr>
          <w:rFonts w:ascii="Times New Roman" w:hAnsi="Times New Roman" w:cs="Times New Roman"/>
          <w:sz w:val="24"/>
          <w:szCs w:val="24"/>
        </w:rPr>
        <w:t xml:space="preserve"> и тумачење номиналног ефективног курса, а то су:</w:t>
      </w:r>
    </w:p>
    <w:p w:rsidR="00985D22" w:rsidRPr="00AF6F54" w:rsidRDefault="00985D22" w:rsidP="00635C49">
      <w:pPr>
        <w:pStyle w:val="ListParagraph"/>
        <w:numPr>
          <w:ilvl w:val="0"/>
          <w:numId w:val="1"/>
        </w:numPr>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Израчу</w:t>
      </w:r>
      <w:r w:rsidR="00E94B7C" w:rsidRPr="00AF6F54">
        <w:rPr>
          <w:rFonts w:ascii="Times New Roman" w:hAnsi="Times New Roman" w:cs="Times New Roman"/>
          <w:sz w:val="24"/>
          <w:szCs w:val="24"/>
        </w:rPr>
        <w:t>н</w:t>
      </w:r>
      <w:r w:rsidR="00E94B7C" w:rsidRPr="00AF6F54">
        <w:rPr>
          <w:rFonts w:ascii="Times New Roman" w:hAnsi="Times New Roman" w:cs="Times New Roman"/>
          <w:sz w:val="24"/>
          <w:szCs w:val="24"/>
          <w:lang w:val="sr-Cyrl-BA"/>
        </w:rPr>
        <w:t>авање</w:t>
      </w:r>
      <w:r w:rsidRPr="00AF6F54">
        <w:rPr>
          <w:rFonts w:ascii="Times New Roman" w:eastAsiaTheme="minorEastAsia" w:hAnsi="Times New Roman" w:cs="Times New Roman"/>
          <w:sz w:val="24"/>
          <w:szCs w:val="24"/>
        </w:rPr>
        <w:t xml:space="preserve"> пондера</w:t>
      </w:r>
      <w:r w:rsidR="00635C49" w:rsidRPr="00AF6F54">
        <w:rPr>
          <w:rFonts w:ascii="Times New Roman" w:eastAsiaTheme="minorEastAsia" w:hAnsi="Times New Roman" w:cs="Times New Roman"/>
          <w:sz w:val="24"/>
          <w:szCs w:val="24"/>
        </w:rPr>
        <w:t>, за који је неопходно направити:</w:t>
      </w:r>
    </w:p>
    <w:p w:rsidR="00985D22" w:rsidRPr="00AF6F54" w:rsidRDefault="00985D22" w:rsidP="00EE67EC">
      <w:pPr>
        <w:pStyle w:val="ListParagraph"/>
        <w:numPr>
          <w:ilvl w:val="1"/>
          <w:numId w:val="1"/>
        </w:numPr>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Одабир трговинских партнера</w:t>
      </w:r>
    </w:p>
    <w:p w:rsidR="00985D22" w:rsidRPr="00AF6F54" w:rsidRDefault="00985D22" w:rsidP="00EE67EC">
      <w:pPr>
        <w:pStyle w:val="ListParagraph"/>
        <w:numPr>
          <w:ilvl w:val="1"/>
          <w:numId w:val="1"/>
        </w:numPr>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Ажурирање пондера</w:t>
      </w:r>
    </w:p>
    <w:p w:rsidR="00985D22" w:rsidRPr="00AF6F54" w:rsidRDefault="00985D22" w:rsidP="00EE67EC">
      <w:pPr>
        <w:pStyle w:val="ListParagraph"/>
        <w:numPr>
          <w:ilvl w:val="1"/>
          <w:numId w:val="1"/>
        </w:numPr>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Метод пондерисања</w:t>
      </w:r>
    </w:p>
    <w:p w:rsidR="00985D22" w:rsidRPr="00AF6F54" w:rsidRDefault="00985D22" w:rsidP="00EE67EC">
      <w:pPr>
        <w:pStyle w:val="ListParagraph"/>
        <w:numPr>
          <w:ilvl w:val="1"/>
          <w:numId w:val="1"/>
        </w:numPr>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Двоструко пондерисани извозни пондер у пракси</w:t>
      </w:r>
    </w:p>
    <w:p w:rsidR="00985D22" w:rsidRPr="00AF6F54" w:rsidRDefault="00635C49" w:rsidP="00635C49">
      <w:pPr>
        <w:pStyle w:val="ListParagraph"/>
        <w:numPr>
          <w:ilvl w:val="0"/>
          <w:numId w:val="1"/>
        </w:numPr>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Одабир и кориш</w:t>
      </w:r>
      <w:r w:rsidR="001E6156" w:rsidRPr="00AF6F54">
        <w:rPr>
          <w:rFonts w:ascii="Times New Roman" w:eastAsiaTheme="minorEastAsia" w:hAnsi="Times New Roman" w:cs="Times New Roman"/>
          <w:sz w:val="24"/>
          <w:szCs w:val="24"/>
          <w:lang w:val="sr-Cyrl-BA"/>
        </w:rPr>
        <w:t>ћ</w:t>
      </w:r>
      <w:r w:rsidRPr="00AF6F54">
        <w:rPr>
          <w:rFonts w:ascii="Times New Roman" w:eastAsiaTheme="minorEastAsia" w:hAnsi="Times New Roman" w:cs="Times New Roman"/>
          <w:sz w:val="24"/>
          <w:szCs w:val="24"/>
        </w:rPr>
        <w:t>ење курса валута</w:t>
      </w:r>
    </w:p>
    <w:p w:rsidR="00E91009" w:rsidRPr="00AF6F54" w:rsidRDefault="00EE67EC" w:rsidP="00D85D47">
      <w:pPr>
        <w:pStyle w:val="Heading2"/>
        <w:ind w:firstLine="360"/>
        <w:rPr>
          <w:lang w:val="bs-Latn-BA"/>
        </w:rPr>
      </w:pPr>
      <w:r w:rsidRPr="00AF6F54">
        <w:rPr>
          <w:lang w:val="bs-Latn-BA"/>
        </w:rPr>
        <w:t>Израчун пондера – Двоструко пондерисани извозни пондер</w:t>
      </w:r>
    </w:p>
    <w:p w:rsidR="00EE67EC" w:rsidRPr="00AF6F54" w:rsidRDefault="00EE67EC" w:rsidP="004A310C">
      <w:pPr>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Приступ који се користи за израчунавање ефективног курса KМ слиједи методологију Банке за међународна поравнања (у даљњем тексту BIS) представљену </w:t>
      </w:r>
      <w:r w:rsidR="001E6156" w:rsidRPr="00AF6F54">
        <w:rPr>
          <w:rFonts w:ascii="Times New Roman" w:eastAsiaTheme="minorEastAsia" w:hAnsi="Times New Roman" w:cs="Times New Roman"/>
          <w:sz w:val="24"/>
          <w:szCs w:val="24"/>
          <w:lang w:val="sr-Cyrl-BA"/>
        </w:rPr>
        <w:t xml:space="preserve">у </w:t>
      </w:r>
      <w:r w:rsidRPr="00AF6F54">
        <w:rPr>
          <w:rFonts w:ascii="Times New Roman" w:eastAsiaTheme="minorEastAsia" w:hAnsi="Times New Roman" w:cs="Times New Roman"/>
          <w:sz w:val="24"/>
          <w:szCs w:val="24"/>
        </w:rPr>
        <w:t xml:space="preserve">економским новинама </w:t>
      </w:r>
      <w:r w:rsidR="001E6156" w:rsidRPr="00AF6F54">
        <w:rPr>
          <w:rFonts w:ascii="Times New Roman" w:eastAsiaTheme="minorEastAsia" w:hAnsi="Times New Roman" w:cs="Times New Roman"/>
          <w:sz w:val="24"/>
          <w:szCs w:val="24"/>
        </w:rPr>
        <w:t>BIS</w:t>
      </w:r>
      <w:r w:rsidR="001E6156" w:rsidRPr="00AF6F54">
        <w:rPr>
          <w:rFonts w:ascii="Times New Roman" w:eastAsiaTheme="minorEastAsia" w:hAnsi="Times New Roman" w:cs="Times New Roman"/>
          <w:sz w:val="24"/>
          <w:szCs w:val="24"/>
          <w:lang w:val="sr-Cyrl-BA"/>
        </w:rPr>
        <w:t>-а</w:t>
      </w:r>
      <w:r w:rsidR="001E6156" w:rsidRPr="00AF6F54">
        <w:rPr>
          <w:rFonts w:ascii="Times New Roman" w:eastAsiaTheme="minorEastAsia" w:hAnsi="Times New Roman" w:cs="Times New Roman"/>
          <w:sz w:val="24"/>
          <w:szCs w:val="24"/>
        </w:rPr>
        <w:t xml:space="preserve"> б</w:t>
      </w:r>
      <w:r w:rsidRPr="00AF6F54">
        <w:rPr>
          <w:rFonts w:ascii="Times New Roman" w:eastAsiaTheme="minorEastAsia" w:hAnsi="Times New Roman" w:cs="Times New Roman"/>
          <w:sz w:val="24"/>
          <w:szCs w:val="24"/>
        </w:rPr>
        <w:t>р.</w:t>
      </w:r>
      <w:r w:rsidR="001E6156" w:rsidRPr="00AF6F54">
        <w:rPr>
          <w:rFonts w:ascii="Times New Roman" w:eastAsiaTheme="minorEastAsia" w:hAnsi="Times New Roman" w:cs="Times New Roman"/>
          <w:sz w:val="24"/>
          <w:szCs w:val="24"/>
          <w:lang w:val="sr-Cyrl-BA"/>
        </w:rPr>
        <w:t xml:space="preserve"> </w:t>
      </w:r>
      <w:r w:rsidRPr="00AF6F54">
        <w:rPr>
          <w:rFonts w:ascii="Times New Roman" w:eastAsiaTheme="minorEastAsia" w:hAnsi="Times New Roman" w:cs="Times New Roman"/>
          <w:sz w:val="24"/>
          <w:szCs w:val="24"/>
        </w:rPr>
        <w:t xml:space="preserve">39 </w:t>
      </w:r>
      <w:r w:rsidR="001E6156" w:rsidRPr="00AF6F54">
        <w:rPr>
          <w:rFonts w:ascii="Times New Roman" w:eastAsiaTheme="minorEastAsia" w:hAnsi="Times New Roman" w:cs="Times New Roman"/>
          <w:sz w:val="24"/>
          <w:szCs w:val="24"/>
        </w:rPr>
        <w:t>Turner</w:t>
      </w:r>
      <w:r w:rsidRPr="00AF6F54">
        <w:rPr>
          <w:rFonts w:ascii="Times New Roman" w:eastAsiaTheme="minorEastAsia" w:hAnsi="Times New Roman" w:cs="Times New Roman"/>
          <w:sz w:val="24"/>
          <w:szCs w:val="24"/>
        </w:rPr>
        <w:t xml:space="preserve">, </w:t>
      </w:r>
      <w:r w:rsidR="001E6156" w:rsidRPr="00AF6F54">
        <w:rPr>
          <w:rFonts w:ascii="Times New Roman" w:eastAsiaTheme="minorEastAsia" w:hAnsi="Times New Roman" w:cs="Times New Roman"/>
          <w:sz w:val="24"/>
          <w:szCs w:val="24"/>
        </w:rPr>
        <w:t>P</w:t>
      </w:r>
      <w:r w:rsidRPr="00AF6F54">
        <w:rPr>
          <w:rFonts w:ascii="Times New Roman" w:eastAsiaTheme="minorEastAsia" w:hAnsi="Times New Roman" w:cs="Times New Roman"/>
          <w:sz w:val="24"/>
          <w:szCs w:val="24"/>
        </w:rPr>
        <w:t xml:space="preserve">. и </w:t>
      </w:r>
      <w:r w:rsidR="001E6156" w:rsidRPr="00AF6F54">
        <w:rPr>
          <w:rFonts w:ascii="Times New Roman" w:eastAsiaTheme="minorEastAsia" w:hAnsi="Times New Roman" w:cs="Times New Roman"/>
          <w:sz w:val="24"/>
          <w:szCs w:val="24"/>
        </w:rPr>
        <w:t>Van</w:t>
      </w:r>
      <w:r w:rsidRPr="00AF6F54">
        <w:rPr>
          <w:rFonts w:ascii="Times New Roman" w:eastAsiaTheme="minorEastAsia" w:hAnsi="Times New Roman" w:cs="Times New Roman"/>
          <w:sz w:val="24"/>
          <w:szCs w:val="24"/>
        </w:rPr>
        <w:t>’</w:t>
      </w:r>
      <w:r w:rsidR="001E6156" w:rsidRPr="00AF6F54">
        <w:rPr>
          <w:rFonts w:ascii="Times New Roman" w:eastAsiaTheme="minorEastAsia" w:hAnsi="Times New Roman" w:cs="Times New Roman"/>
          <w:sz w:val="24"/>
          <w:szCs w:val="24"/>
        </w:rPr>
        <w:t>t</w:t>
      </w:r>
      <w:r w:rsidRPr="00AF6F54">
        <w:rPr>
          <w:rFonts w:ascii="Times New Roman" w:eastAsiaTheme="minorEastAsia" w:hAnsi="Times New Roman" w:cs="Times New Roman"/>
          <w:sz w:val="24"/>
          <w:szCs w:val="24"/>
        </w:rPr>
        <w:t xml:space="preserve"> </w:t>
      </w:r>
      <w:r w:rsidR="001E6156" w:rsidRPr="00AF6F54">
        <w:rPr>
          <w:rFonts w:ascii="Times New Roman" w:eastAsiaTheme="minorEastAsia" w:hAnsi="Times New Roman" w:cs="Times New Roman"/>
          <w:sz w:val="24"/>
          <w:szCs w:val="24"/>
        </w:rPr>
        <w:t>Dack</w:t>
      </w:r>
      <w:r w:rsidRPr="00AF6F54">
        <w:rPr>
          <w:rFonts w:ascii="Times New Roman" w:eastAsiaTheme="minorEastAsia" w:hAnsi="Times New Roman" w:cs="Times New Roman"/>
          <w:sz w:val="24"/>
          <w:szCs w:val="24"/>
        </w:rPr>
        <w:t xml:space="preserve">, </w:t>
      </w:r>
      <w:r w:rsidR="001E6156" w:rsidRPr="00AF6F54">
        <w:rPr>
          <w:rFonts w:ascii="Times New Roman" w:eastAsiaTheme="minorEastAsia" w:hAnsi="Times New Roman" w:cs="Times New Roman"/>
          <w:sz w:val="24"/>
          <w:szCs w:val="24"/>
        </w:rPr>
        <w:t>J</w:t>
      </w:r>
      <w:r w:rsidRPr="00AF6F54">
        <w:rPr>
          <w:rFonts w:ascii="Times New Roman" w:eastAsiaTheme="minorEastAsia" w:hAnsi="Times New Roman" w:cs="Times New Roman"/>
          <w:sz w:val="24"/>
          <w:szCs w:val="24"/>
        </w:rPr>
        <w:t>. (1993.): „Measuring international price and cost competitiveness".</w:t>
      </w:r>
    </w:p>
    <w:p w:rsidR="00EE67EC" w:rsidRPr="00AF6F54" w:rsidRDefault="00EE67EC" w:rsidP="00EE67EC">
      <w:pPr>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Према датој методологији пондери за израчун ефективних курсева KМ заснивају се на структури увоза и извоза робе прерађивачке индустрије. Притом пондери одражавају директну увозну конкуренцију, директну извозну конкуренцију и извозну конкуренцију на трећим тржиштима. Израчун укупних пондера заснива се стога на матрици врло детаљних увозних и извозних података.</w:t>
      </w:r>
    </w:p>
    <w:p w:rsidR="00EE67EC" w:rsidRPr="00AF6F54" w:rsidRDefault="00EE67EC" w:rsidP="00EE67EC">
      <w:pPr>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Увозни пондери представљају једноставан</w:t>
      </w:r>
      <w:r w:rsidR="00F91433" w:rsidRPr="00AF6F54">
        <w:rPr>
          <w:rFonts w:ascii="Times New Roman" w:eastAsiaTheme="minorEastAsia" w:hAnsi="Times New Roman" w:cs="Times New Roman"/>
          <w:sz w:val="24"/>
          <w:szCs w:val="24"/>
          <w:lang w:val="sr-Cyrl-BA"/>
        </w:rPr>
        <w:t>о</w:t>
      </w:r>
      <w:r w:rsidR="00F91433" w:rsidRPr="00AF6F54">
        <w:rPr>
          <w:rFonts w:ascii="Times New Roman" w:eastAsiaTheme="minorEastAsia" w:hAnsi="Times New Roman" w:cs="Times New Roman"/>
          <w:sz w:val="24"/>
          <w:szCs w:val="24"/>
        </w:rPr>
        <w:t xml:space="preserve"> учешће</w:t>
      </w:r>
      <w:r w:rsidRPr="00AF6F54">
        <w:rPr>
          <w:rFonts w:ascii="Times New Roman" w:eastAsiaTheme="minorEastAsia" w:hAnsi="Times New Roman" w:cs="Times New Roman"/>
          <w:sz w:val="24"/>
          <w:szCs w:val="24"/>
        </w:rPr>
        <w:t xml:space="preserve"> у укупном увозу БиХ за сваког трговинског партнера, док је извозни пондер комбинација једноставног у</w:t>
      </w:r>
      <w:r w:rsidR="00F91433" w:rsidRPr="00AF6F54">
        <w:rPr>
          <w:rFonts w:ascii="Times New Roman" w:eastAsiaTheme="minorEastAsia" w:hAnsi="Times New Roman" w:cs="Times New Roman"/>
          <w:sz w:val="24"/>
          <w:szCs w:val="24"/>
          <w:lang w:val="sr-Cyrl-BA"/>
        </w:rPr>
        <w:t>чешћа</w:t>
      </w:r>
      <w:r w:rsidRPr="00AF6F54">
        <w:rPr>
          <w:rFonts w:ascii="Times New Roman" w:eastAsiaTheme="minorEastAsia" w:hAnsi="Times New Roman" w:cs="Times New Roman"/>
          <w:sz w:val="24"/>
          <w:szCs w:val="24"/>
        </w:rPr>
        <w:t xml:space="preserve"> и двоструко пондерисаног извозног пондера који узима у обзир конкуренцију на трећим тржиштима. </w:t>
      </w:r>
      <w:r w:rsidR="00635C49" w:rsidRPr="00AF6F54">
        <w:rPr>
          <w:rFonts w:ascii="Times New Roman" w:eastAsiaTheme="minorEastAsia" w:hAnsi="Times New Roman" w:cs="Times New Roman"/>
          <w:sz w:val="24"/>
          <w:szCs w:val="24"/>
        </w:rPr>
        <w:t xml:space="preserve">Тако да је видљив ефекат конкуренције с којом се суочавају извозници из </w:t>
      </w:r>
      <w:r w:rsidR="00D474F0" w:rsidRPr="00AF6F54">
        <w:rPr>
          <w:rFonts w:ascii="Times New Roman" w:eastAsiaTheme="minorEastAsia" w:hAnsi="Times New Roman" w:cs="Times New Roman"/>
          <w:sz w:val="24"/>
          <w:szCs w:val="24"/>
        </w:rPr>
        <w:lastRenderedPageBreak/>
        <w:t>БиХ и с</w:t>
      </w:r>
      <w:r w:rsidR="00635C49" w:rsidRPr="00AF6F54">
        <w:rPr>
          <w:rFonts w:ascii="Times New Roman" w:eastAsiaTheme="minorEastAsia" w:hAnsi="Times New Roman" w:cs="Times New Roman"/>
          <w:sz w:val="24"/>
          <w:szCs w:val="24"/>
        </w:rPr>
        <w:t xml:space="preserve"> домаћим произвођачима н</w:t>
      </w:r>
      <w:r w:rsidR="00D474F0" w:rsidRPr="00AF6F54">
        <w:rPr>
          <w:rFonts w:ascii="Times New Roman" w:eastAsiaTheme="minorEastAsia" w:hAnsi="Times New Roman" w:cs="Times New Roman"/>
          <w:sz w:val="24"/>
          <w:szCs w:val="24"/>
        </w:rPr>
        <w:t>а домаћим тржиштима и с</w:t>
      </w:r>
      <w:r w:rsidR="00635C49" w:rsidRPr="00AF6F54">
        <w:rPr>
          <w:rFonts w:ascii="Times New Roman" w:eastAsiaTheme="minorEastAsia" w:hAnsi="Times New Roman" w:cs="Times New Roman"/>
          <w:sz w:val="24"/>
          <w:szCs w:val="24"/>
        </w:rPr>
        <w:t xml:space="preserve"> извозницима на трећим тржиштима.</w:t>
      </w:r>
    </w:p>
    <w:p w:rsidR="00B8463E" w:rsidRPr="00AF6F54" w:rsidRDefault="00E9313A" w:rsidP="00B8463E">
      <w:pPr>
        <w:jc w:val="both"/>
        <w:rPr>
          <w:rFonts w:ascii="Times New Roman" w:eastAsiaTheme="minorEastAsia" w:hAnsi="Times New Roman" w:cs="Times New Roman"/>
          <w:sz w:val="24"/>
          <w:szCs w:val="24"/>
        </w:rPr>
      </w:pPr>
      <w:r w:rsidRPr="00AF6F54">
        <w:rPr>
          <w:rFonts w:ascii="Times New Roman" w:hAnsi="Times New Roman" w:cs="Times New Roman"/>
          <w:noProof/>
          <w:szCs w:val="20"/>
          <w:lang w:eastAsia="bs-Latn-BA"/>
        </w:rPr>
        <mc:AlternateContent>
          <mc:Choice Requires="wps">
            <w:drawing>
              <wp:anchor distT="45720" distB="45720" distL="114300" distR="114300" simplePos="0" relativeHeight="251661312" behindDoc="0" locked="0" layoutInCell="1" allowOverlap="1" wp14:anchorId="78095F15" wp14:editId="1A91A277">
                <wp:simplePos x="0" y="0"/>
                <wp:positionH relativeFrom="margin">
                  <wp:posOffset>14605</wp:posOffset>
                </wp:positionH>
                <wp:positionV relativeFrom="paragraph">
                  <wp:posOffset>1715770</wp:posOffset>
                </wp:positionV>
                <wp:extent cx="5800725" cy="6543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543675"/>
                        </a:xfrm>
                        <a:prstGeom prst="rect">
                          <a:avLst/>
                        </a:prstGeom>
                        <a:solidFill>
                          <a:schemeClr val="bg1">
                            <a:lumMod val="95000"/>
                          </a:schemeClr>
                        </a:solidFill>
                        <a:ln w="9525">
                          <a:solidFill>
                            <a:srgbClr val="000000"/>
                          </a:solidFill>
                          <a:miter lim="800000"/>
                          <a:headEnd/>
                          <a:tailEnd/>
                        </a:ln>
                      </wps:spPr>
                      <wps:txbx>
                        <w:txbxContent>
                          <w:p w:rsidR="00632C6C" w:rsidRDefault="00632C6C" w:rsidP="00E9313A">
                            <w:pPr>
                              <w:jc w:val="both"/>
                              <w:rPr>
                                <w:rFonts w:ascii="Times New Roman" w:hAnsi="Times New Roman" w:cs="Times New Roman"/>
                                <w:szCs w:val="20"/>
                              </w:rPr>
                            </w:pPr>
                            <w:r w:rsidRPr="00E9313A">
                              <w:rPr>
                                <w:rFonts w:ascii="Times New Roman" w:hAnsi="Times New Roman" w:cs="Times New Roman"/>
                                <w:szCs w:val="20"/>
                              </w:rPr>
                              <w:t xml:space="preserve">Како би се поближе и на једноставан начин објаснила метода за израчун двоструко пондерисаних извозних пондера, односно на који начин се једноставни извозни пондери прилагођавају за конкуренцију на трећим тржиштима, приказан је поједностављени примјер на </w:t>
                            </w:r>
                            <w:r w:rsidRPr="00E9313A">
                              <w:rPr>
                                <w:rFonts w:ascii="Times New Roman" w:hAnsi="Times New Roman" w:cs="Times New Roman"/>
                                <w:szCs w:val="20"/>
                                <w:lang w:val="sr-Cyrl-BA"/>
                              </w:rPr>
                              <w:t>с</w:t>
                            </w:r>
                            <w:r w:rsidRPr="00E9313A">
                              <w:rPr>
                                <w:rFonts w:ascii="Times New Roman" w:hAnsi="Times New Roman" w:cs="Times New Roman"/>
                                <w:szCs w:val="20"/>
                              </w:rPr>
                              <w:t>лици 1</w:t>
                            </w:r>
                          </w:p>
                          <w:p w:rsidR="00632C6C" w:rsidRDefault="00632C6C" w:rsidP="00E9313A">
                            <w:pPr>
                              <w:pStyle w:val="Caption"/>
                            </w:pPr>
                            <w:r w:rsidRPr="00EE67EC">
                              <w:t xml:space="preserve">Слика 1 </w:t>
                            </w:r>
                            <w:r w:rsidRPr="00EE67EC">
                              <w:rPr>
                                <w:i w:val="0"/>
                              </w:rPr>
                              <w:t>Илустрација директне конкуренције и конкуренције на трећим тржиштимa</w:t>
                            </w:r>
                            <w:r w:rsidRPr="00734206">
                              <w:t xml:space="preserve"> </w:t>
                            </w:r>
                          </w:p>
                          <w:p w:rsidR="00632C6C" w:rsidRDefault="00632C6C" w:rsidP="00E9313A">
                            <w:pPr>
                              <w:ind w:left="708"/>
                            </w:pPr>
                            <w:r w:rsidRPr="00E9313A">
                              <w:rPr>
                                <w:noProof/>
                                <w:lang w:eastAsia="bs-Latn-BA"/>
                              </w:rPr>
                              <w:drawing>
                                <wp:inline distT="0" distB="0" distL="0" distR="0" wp14:anchorId="65BE9563" wp14:editId="5B75D1DA">
                                  <wp:extent cx="5257800" cy="23831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976" cy="2390896"/>
                                          </a:xfrm>
                                          <a:prstGeom prst="rect">
                                            <a:avLst/>
                                          </a:prstGeom>
                                          <a:noFill/>
                                          <a:ln>
                                            <a:noFill/>
                                          </a:ln>
                                        </pic:spPr>
                                      </pic:pic>
                                    </a:graphicData>
                                  </a:graphic>
                                </wp:inline>
                              </w:drawing>
                            </w:r>
                          </w:p>
                          <w:p w:rsidR="00632C6C" w:rsidRPr="00734206" w:rsidRDefault="00632C6C" w:rsidP="00E9313A">
                            <w:pPr>
                              <w:spacing w:after="200" w:line="276" w:lineRule="auto"/>
                              <w:jc w:val="both"/>
                              <w:rPr>
                                <w:rFonts w:ascii="Times New Roman" w:hAnsi="Times New Roman" w:cs="Times New Roman"/>
                                <w:sz w:val="16"/>
                                <w:szCs w:val="16"/>
                              </w:rPr>
                            </w:pPr>
                            <w:r w:rsidRPr="00EE67EC">
                              <w:rPr>
                                <w:rFonts w:ascii="Times New Roman" w:hAnsi="Times New Roman" w:cs="Times New Roman"/>
                                <w:sz w:val="16"/>
                                <w:szCs w:val="16"/>
                              </w:rPr>
                              <w:t>Напомена: Илустрација показује стварне вриједности трговине производима прерађивачке индустрије добивене као просјек вриједности у периоду 2002.</w:t>
                            </w:r>
                            <w:r>
                              <w:rPr>
                                <w:rFonts w:ascii="Times New Roman" w:hAnsi="Times New Roman" w:cs="Times New Roman"/>
                                <w:sz w:val="16"/>
                                <w:szCs w:val="16"/>
                                <w:lang w:val="sr-Cyrl-BA"/>
                              </w:rPr>
                              <w:t>-</w:t>
                            </w:r>
                            <w:r w:rsidRPr="00EE67EC">
                              <w:rPr>
                                <w:rFonts w:ascii="Times New Roman" w:hAnsi="Times New Roman" w:cs="Times New Roman"/>
                                <w:sz w:val="16"/>
                                <w:szCs w:val="16"/>
                              </w:rPr>
                              <w:t xml:space="preserve">2004. године; вриједности су изражене у милионима долара. Ова илустрација мотивисана је сличном приказаном у </w:t>
                            </w:r>
                            <w:r>
                              <w:rPr>
                                <w:rFonts w:ascii="Times New Roman" w:hAnsi="Times New Roman" w:cs="Times New Roman"/>
                                <w:sz w:val="16"/>
                                <w:szCs w:val="16"/>
                              </w:rPr>
                              <w:t>Turner</w:t>
                            </w:r>
                            <w:r w:rsidRPr="00EE67EC">
                              <w:rPr>
                                <w:rFonts w:ascii="Times New Roman" w:hAnsi="Times New Roman" w:cs="Times New Roman"/>
                                <w:sz w:val="16"/>
                                <w:szCs w:val="16"/>
                              </w:rPr>
                              <w:t xml:space="preserve"> </w:t>
                            </w:r>
                            <w:r>
                              <w:rPr>
                                <w:rFonts w:ascii="Times New Roman" w:hAnsi="Times New Roman" w:cs="Times New Roman"/>
                                <w:sz w:val="16"/>
                                <w:szCs w:val="16"/>
                              </w:rPr>
                              <w:t>and</w:t>
                            </w:r>
                            <w:r w:rsidRPr="00EE67EC">
                              <w:rPr>
                                <w:rFonts w:ascii="Times New Roman" w:hAnsi="Times New Roman" w:cs="Times New Roman"/>
                                <w:sz w:val="16"/>
                                <w:szCs w:val="16"/>
                              </w:rPr>
                              <w:t xml:space="preserve"> </w:t>
                            </w:r>
                            <w:r>
                              <w:rPr>
                                <w:rFonts w:ascii="Times New Roman" w:hAnsi="Times New Roman" w:cs="Times New Roman"/>
                                <w:sz w:val="16"/>
                                <w:szCs w:val="16"/>
                              </w:rPr>
                              <w:t>Van</w:t>
                            </w:r>
                            <w:r w:rsidRPr="00EE67EC">
                              <w:rPr>
                                <w:rFonts w:ascii="Times New Roman" w:hAnsi="Times New Roman" w:cs="Times New Roman"/>
                                <w:sz w:val="16"/>
                                <w:szCs w:val="16"/>
                              </w:rPr>
                              <w:t>'</w:t>
                            </w:r>
                            <w:r>
                              <w:rPr>
                                <w:rFonts w:ascii="Times New Roman" w:hAnsi="Times New Roman" w:cs="Times New Roman"/>
                                <w:sz w:val="16"/>
                                <w:szCs w:val="16"/>
                              </w:rPr>
                              <w:t>t</w:t>
                            </w:r>
                            <w:r w:rsidRPr="00EE67EC">
                              <w:rPr>
                                <w:rFonts w:ascii="Times New Roman" w:hAnsi="Times New Roman" w:cs="Times New Roman"/>
                                <w:sz w:val="16"/>
                                <w:szCs w:val="16"/>
                              </w:rPr>
                              <w:t xml:space="preserve"> </w:t>
                            </w:r>
                            <w:r>
                              <w:rPr>
                                <w:rFonts w:ascii="Times New Roman" w:hAnsi="Times New Roman" w:cs="Times New Roman"/>
                                <w:sz w:val="16"/>
                                <w:szCs w:val="16"/>
                              </w:rPr>
                              <w:t>Dack</w:t>
                            </w:r>
                            <w:r w:rsidRPr="00EE67EC">
                              <w:rPr>
                                <w:rFonts w:ascii="Times New Roman" w:hAnsi="Times New Roman" w:cs="Times New Roman"/>
                                <w:sz w:val="16"/>
                                <w:szCs w:val="16"/>
                              </w:rPr>
                              <w:t>, 1993, стр. 18</w:t>
                            </w:r>
                            <w:r>
                              <w:rPr>
                                <w:rFonts w:ascii="Times New Roman" w:hAnsi="Times New Roman" w:cs="Times New Roman"/>
                                <w:sz w:val="16"/>
                                <w:szCs w:val="16"/>
                                <w:lang w:val="sr-Cyrl-BA"/>
                              </w:rPr>
                              <w:t>-</w:t>
                            </w:r>
                            <w:r w:rsidRPr="00EE67EC">
                              <w:rPr>
                                <w:rFonts w:ascii="Times New Roman" w:hAnsi="Times New Roman" w:cs="Times New Roman"/>
                                <w:sz w:val="16"/>
                                <w:szCs w:val="16"/>
                              </w:rPr>
                              <w:t>19.</w:t>
                            </w:r>
                          </w:p>
                          <w:p w:rsidR="00632C6C" w:rsidRPr="00E9313A" w:rsidRDefault="00632C6C" w:rsidP="00E9313A">
                            <w:pPr>
                              <w:jc w:val="both"/>
                              <w:rPr>
                                <w:rFonts w:ascii="Times New Roman" w:hAnsi="Times New Roman" w:cs="Times New Roman"/>
                              </w:rPr>
                            </w:pPr>
                            <w:r w:rsidRPr="00E9313A">
                              <w:rPr>
                                <w:rFonts w:ascii="Times New Roman" w:hAnsi="Times New Roman" w:cs="Times New Roman"/>
                              </w:rPr>
                              <w:t xml:space="preserve">У прва два корака циљ нам је одредити у којој мјери се одвија конкуренција између извозника из БиХ и произвођача из Њемачке на тржишту Њемачке (директна конкуренција), те у којој се мјери одвија конкуренција између извозника из БиХ и извозника из Њемачке на </w:t>
                            </w:r>
                            <w:r w:rsidRPr="00E9313A">
                              <w:rPr>
                                <w:rFonts w:ascii="Times New Roman" w:hAnsi="Times New Roman" w:cs="Times New Roman"/>
                                <w:lang w:val="sr-Cyrl-BA"/>
                              </w:rPr>
                              <w:t>т</w:t>
                            </w:r>
                            <w:r w:rsidRPr="00E9313A">
                              <w:rPr>
                                <w:rFonts w:ascii="Times New Roman" w:hAnsi="Times New Roman" w:cs="Times New Roman"/>
                              </w:rPr>
                              <w:t>рећим тржиштима (индиректна конкуренција).</w:t>
                            </w:r>
                          </w:p>
                          <w:p w:rsidR="00632C6C" w:rsidRPr="00E9313A" w:rsidRDefault="00632C6C" w:rsidP="00E9313A">
                            <w:pPr>
                              <w:jc w:val="both"/>
                              <w:rPr>
                                <w:rFonts w:ascii="Times New Roman" w:hAnsi="Times New Roman" w:cs="Times New Roman"/>
                              </w:rPr>
                            </w:pPr>
                            <w:r w:rsidRPr="00E9313A">
                              <w:rPr>
                                <w:rFonts w:ascii="Times New Roman" w:hAnsi="Times New Roman" w:cs="Times New Roman"/>
                              </w:rPr>
                              <w:t>Први корак јесте одређивање важности коју произвођачи из Њемачке имају на своме домаћем тржишту (=283.165), као и важности коју извозници из Њемачке имају на трећим тржиштима (=293.995). Из овога произлази да у укупној понуди производа која је присутна на тржишту Њемачке (искључујући понуду произвођача из БиХ), њемачки произвођачи учествују</w:t>
                            </w:r>
                            <w:r w:rsidRPr="00E9313A">
                              <w:rPr>
                                <w:rFonts w:ascii="Times New Roman" w:hAnsi="Times New Roman" w:cs="Times New Roman"/>
                                <w:lang w:val="sr-Cyrl-BA"/>
                              </w:rPr>
                              <w:t xml:space="preserve"> </w:t>
                            </w:r>
                            <w:r w:rsidRPr="00E9313A">
                              <w:rPr>
                                <w:rFonts w:ascii="Times New Roman" w:hAnsi="Times New Roman" w:cs="Times New Roman"/>
                              </w:rPr>
                              <w:t xml:space="preserve">са 49% (=283.165/(283.165+293.995)), док извозници с </w:t>
                            </w:r>
                            <w:r w:rsidRPr="00E9313A">
                              <w:rPr>
                                <w:rFonts w:ascii="Times New Roman" w:hAnsi="Times New Roman" w:cs="Times New Roman"/>
                                <w:lang w:val="sr-Cyrl-BA"/>
                              </w:rPr>
                              <w:t>т</w:t>
                            </w:r>
                            <w:r w:rsidRPr="00E9313A">
                              <w:rPr>
                                <w:rFonts w:ascii="Times New Roman" w:hAnsi="Times New Roman" w:cs="Times New Roman"/>
                              </w:rPr>
                              <w:t xml:space="preserve">рећих тржишта учествују са 51% (=293.995/(283.165+293.995)). Исто тако се може примијетити да извозници из Њемачке у укупној понуди која је присутна на </w:t>
                            </w:r>
                            <w:r w:rsidRPr="00E9313A">
                              <w:rPr>
                                <w:rFonts w:ascii="Times New Roman" w:hAnsi="Times New Roman" w:cs="Times New Roman"/>
                                <w:lang w:val="sr-Cyrl-BA"/>
                              </w:rPr>
                              <w:t>т</w:t>
                            </w:r>
                            <w:r w:rsidRPr="00E9313A">
                              <w:rPr>
                                <w:rFonts w:ascii="Times New Roman" w:hAnsi="Times New Roman" w:cs="Times New Roman"/>
                              </w:rPr>
                              <w:t xml:space="preserve">рећим тржиштима (опет искључујући понуду произвођача из БиХ) учествују са 16% (=695.920/(695.920+3.570.265)), док остатак долази од осталих произвођача/извозника на </w:t>
                            </w:r>
                            <w:r w:rsidRPr="00E9313A">
                              <w:rPr>
                                <w:rFonts w:ascii="Times New Roman" w:hAnsi="Times New Roman" w:cs="Times New Roman"/>
                                <w:lang w:val="sr-Cyrl-BA"/>
                              </w:rPr>
                              <w:t>т</w:t>
                            </w:r>
                            <w:r w:rsidRPr="00E9313A">
                              <w:rPr>
                                <w:rFonts w:ascii="Times New Roman" w:hAnsi="Times New Roman" w:cs="Times New Roman"/>
                              </w:rPr>
                              <w:t>рећим тржиштима 84% (=3.570.265/(695.920+3.570.265)).</w:t>
                            </w:r>
                          </w:p>
                          <w:p w:rsidR="00632C6C" w:rsidRDefault="00632C6C" w:rsidP="00E9313A"/>
                          <w:p w:rsidR="00632C6C" w:rsidRPr="00E9313A" w:rsidRDefault="00632C6C" w:rsidP="00E9313A"/>
                          <w:p w:rsidR="00632C6C" w:rsidRPr="007C0498" w:rsidRDefault="00632C6C" w:rsidP="00E9313A">
                            <w:pPr>
                              <w:jc w:val="both"/>
                              <w:rPr>
                                <w:rFonts w:ascii="Times New Roman" w:hAnsi="Times New Roman" w:cs="Times New Roman"/>
                                <w:szCs w:val="20"/>
                              </w:rPr>
                            </w:pPr>
                          </w:p>
                          <w:p w:rsidR="00632C6C" w:rsidRDefault="00632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95F15" id="_x0000_t202" coordsize="21600,21600" o:spt="202" path="m,l,21600r21600,l21600,xe">
                <v:stroke joinstyle="miter"/>
                <v:path gradientshapeok="t" o:connecttype="rect"/>
              </v:shapetype>
              <v:shape id="Text Box 2" o:spid="_x0000_s1026" type="#_x0000_t202" style="position:absolute;left:0;text-align:left;margin-left:1.15pt;margin-top:135.1pt;width:456.75pt;height:51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" fillcolor="#f2f2f2 [3052]">
                <v:textbox>
                  <w:txbxContent>
                    <w:p w:rsidR="00632C6C" w:rsidRDefault="00632C6C" w:rsidP="00E9313A">
                      <w:pPr>
                        <w:jc w:val="both"/>
                        <w:rPr>
                          <w:rFonts w:ascii="Times New Roman" w:hAnsi="Times New Roman" w:cs="Times New Roman"/>
                          <w:szCs w:val="20"/>
                        </w:rPr>
                      </w:pPr>
                      <w:r w:rsidRPr="00E9313A">
                        <w:rPr>
                          <w:rFonts w:ascii="Times New Roman" w:hAnsi="Times New Roman" w:cs="Times New Roman"/>
                          <w:szCs w:val="20"/>
                        </w:rPr>
                        <w:t xml:space="preserve">Како би се поближе и на једноставан начин објаснила метода за израчун двоструко пондерисаних извозних пондера, односно на који начин се једноставни извозни пондери прилагођавају за конкуренцију на трећим тржиштима, приказан је поједностављени примјер на </w:t>
                      </w:r>
                      <w:r w:rsidRPr="00E9313A">
                        <w:rPr>
                          <w:rFonts w:ascii="Times New Roman" w:hAnsi="Times New Roman" w:cs="Times New Roman"/>
                          <w:szCs w:val="20"/>
                          <w:lang w:val="sr-Cyrl-BA"/>
                        </w:rPr>
                        <w:t>с</w:t>
                      </w:r>
                      <w:r w:rsidRPr="00E9313A">
                        <w:rPr>
                          <w:rFonts w:ascii="Times New Roman" w:hAnsi="Times New Roman" w:cs="Times New Roman"/>
                          <w:szCs w:val="20"/>
                        </w:rPr>
                        <w:t>лици 1</w:t>
                      </w:r>
                    </w:p>
                    <w:p w:rsidR="00632C6C" w:rsidRDefault="00632C6C" w:rsidP="00E9313A">
                      <w:pPr>
                        <w:pStyle w:val="Caption"/>
                      </w:pPr>
                      <w:r w:rsidRPr="00EE67EC">
                        <w:t xml:space="preserve">Слика 1 </w:t>
                      </w:r>
                      <w:r w:rsidRPr="00EE67EC">
                        <w:rPr>
                          <w:i w:val="0"/>
                        </w:rPr>
                        <w:t>Илустрација директне конкуренције и конкуренције на трећим тржиштимa</w:t>
                      </w:r>
                      <w:r w:rsidRPr="00734206">
                        <w:t xml:space="preserve"> </w:t>
                      </w:r>
                    </w:p>
                    <w:p w:rsidR="00632C6C" w:rsidRDefault="00632C6C" w:rsidP="00E9313A">
                      <w:pPr>
                        <w:ind w:left="708"/>
                      </w:pPr>
                      <w:r w:rsidRPr="00E9313A">
                        <w:rPr>
                          <w:noProof/>
                          <w:lang w:eastAsia="bs-Latn-BA"/>
                        </w:rPr>
                        <w:drawing>
                          <wp:inline distT="0" distB="0" distL="0" distR="0" wp14:anchorId="65BE9563" wp14:editId="5B75D1DA">
                            <wp:extent cx="5257800" cy="23831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976" cy="2390896"/>
                                    </a:xfrm>
                                    <a:prstGeom prst="rect">
                                      <a:avLst/>
                                    </a:prstGeom>
                                    <a:noFill/>
                                    <a:ln>
                                      <a:noFill/>
                                    </a:ln>
                                  </pic:spPr>
                                </pic:pic>
                              </a:graphicData>
                            </a:graphic>
                          </wp:inline>
                        </w:drawing>
                      </w:r>
                    </w:p>
                    <w:p w:rsidR="00632C6C" w:rsidRPr="00734206" w:rsidRDefault="00632C6C" w:rsidP="00E9313A">
                      <w:pPr>
                        <w:spacing w:after="200" w:line="276" w:lineRule="auto"/>
                        <w:jc w:val="both"/>
                        <w:rPr>
                          <w:rFonts w:ascii="Times New Roman" w:hAnsi="Times New Roman" w:cs="Times New Roman"/>
                          <w:sz w:val="16"/>
                          <w:szCs w:val="16"/>
                        </w:rPr>
                      </w:pPr>
                      <w:r w:rsidRPr="00EE67EC">
                        <w:rPr>
                          <w:rFonts w:ascii="Times New Roman" w:hAnsi="Times New Roman" w:cs="Times New Roman"/>
                          <w:sz w:val="16"/>
                          <w:szCs w:val="16"/>
                        </w:rPr>
                        <w:t>Напомена: Илустрација показује стварне вриједности трговине производима прерађивачке индустрије добивене као просјек вриједности у периоду 2002.</w:t>
                      </w:r>
                      <w:r>
                        <w:rPr>
                          <w:rFonts w:ascii="Times New Roman" w:hAnsi="Times New Roman" w:cs="Times New Roman"/>
                          <w:sz w:val="16"/>
                          <w:szCs w:val="16"/>
                          <w:lang w:val="sr-Cyrl-BA"/>
                        </w:rPr>
                        <w:t>-</w:t>
                      </w:r>
                      <w:r w:rsidRPr="00EE67EC">
                        <w:rPr>
                          <w:rFonts w:ascii="Times New Roman" w:hAnsi="Times New Roman" w:cs="Times New Roman"/>
                          <w:sz w:val="16"/>
                          <w:szCs w:val="16"/>
                        </w:rPr>
                        <w:t xml:space="preserve">2004. године; вриједности су изражене у милионима долара. Ова илустрација мотивисана је сличном приказаном у </w:t>
                      </w:r>
                      <w:r>
                        <w:rPr>
                          <w:rFonts w:ascii="Times New Roman" w:hAnsi="Times New Roman" w:cs="Times New Roman"/>
                          <w:sz w:val="16"/>
                          <w:szCs w:val="16"/>
                        </w:rPr>
                        <w:t>Turner</w:t>
                      </w:r>
                      <w:r w:rsidRPr="00EE67EC">
                        <w:rPr>
                          <w:rFonts w:ascii="Times New Roman" w:hAnsi="Times New Roman" w:cs="Times New Roman"/>
                          <w:sz w:val="16"/>
                          <w:szCs w:val="16"/>
                        </w:rPr>
                        <w:t xml:space="preserve"> </w:t>
                      </w:r>
                      <w:r>
                        <w:rPr>
                          <w:rFonts w:ascii="Times New Roman" w:hAnsi="Times New Roman" w:cs="Times New Roman"/>
                          <w:sz w:val="16"/>
                          <w:szCs w:val="16"/>
                        </w:rPr>
                        <w:t>and</w:t>
                      </w:r>
                      <w:r w:rsidRPr="00EE67EC">
                        <w:rPr>
                          <w:rFonts w:ascii="Times New Roman" w:hAnsi="Times New Roman" w:cs="Times New Roman"/>
                          <w:sz w:val="16"/>
                          <w:szCs w:val="16"/>
                        </w:rPr>
                        <w:t xml:space="preserve"> </w:t>
                      </w:r>
                      <w:r>
                        <w:rPr>
                          <w:rFonts w:ascii="Times New Roman" w:hAnsi="Times New Roman" w:cs="Times New Roman"/>
                          <w:sz w:val="16"/>
                          <w:szCs w:val="16"/>
                        </w:rPr>
                        <w:t>Van</w:t>
                      </w:r>
                      <w:r w:rsidRPr="00EE67EC">
                        <w:rPr>
                          <w:rFonts w:ascii="Times New Roman" w:hAnsi="Times New Roman" w:cs="Times New Roman"/>
                          <w:sz w:val="16"/>
                          <w:szCs w:val="16"/>
                        </w:rPr>
                        <w:t>'</w:t>
                      </w:r>
                      <w:r>
                        <w:rPr>
                          <w:rFonts w:ascii="Times New Roman" w:hAnsi="Times New Roman" w:cs="Times New Roman"/>
                          <w:sz w:val="16"/>
                          <w:szCs w:val="16"/>
                        </w:rPr>
                        <w:t>t</w:t>
                      </w:r>
                      <w:r w:rsidRPr="00EE67EC">
                        <w:rPr>
                          <w:rFonts w:ascii="Times New Roman" w:hAnsi="Times New Roman" w:cs="Times New Roman"/>
                          <w:sz w:val="16"/>
                          <w:szCs w:val="16"/>
                        </w:rPr>
                        <w:t xml:space="preserve"> </w:t>
                      </w:r>
                      <w:r>
                        <w:rPr>
                          <w:rFonts w:ascii="Times New Roman" w:hAnsi="Times New Roman" w:cs="Times New Roman"/>
                          <w:sz w:val="16"/>
                          <w:szCs w:val="16"/>
                        </w:rPr>
                        <w:t>Dack</w:t>
                      </w:r>
                      <w:r w:rsidRPr="00EE67EC">
                        <w:rPr>
                          <w:rFonts w:ascii="Times New Roman" w:hAnsi="Times New Roman" w:cs="Times New Roman"/>
                          <w:sz w:val="16"/>
                          <w:szCs w:val="16"/>
                        </w:rPr>
                        <w:t>, 1993, стр. 18</w:t>
                      </w:r>
                      <w:r>
                        <w:rPr>
                          <w:rFonts w:ascii="Times New Roman" w:hAnsi="Times New Roman" w:cs="Times New Roman"/>
                          <w:sz w:val="16"/>
                          <w:szCs w:val="16"/>
                          <w:lang w:val="sr-Cyrl-BA"/>
                        </w:rPr>
                        <w:t>-</w:t>
                      </w:r>
                      <w:r w:rsidRPr="00EE67EC">
                        <w:rPr>
                          <w:rFonts w:ascii="Times New Roman" w:hAnsi="Times New Roman" w:cs="Times New Roman"/>
                          <w:sz w:val="16"/>
                          <w:szCs w:val="16"/>
                        </w:rPr>
                        <w:t>19.</w:t>
                      </w:r>
                    </w:p>
                    <w:p w:rsidR="00632C6C" w:rsidRPr="00E9313A" w:rsidRDefault="00632C6C" w:rsidP="00E9313A">
                      <w:pPr>
                        <w:jc w:val="both"/>
                        <w:rPr>
                          <w:rFonts w:ascii="Times New Roman" w:hAnsi="Times New Roman" w:cs="Times New Roman"/>
                        </w:rPr>
                      </w:pPr>
                      <w:r w:rsidRPr="00E9313A">
                        <w:rPr>
                          <w:rFonts w:ascii="Times New Roman" w:hAnsi="Times New Roman" w:cs="Times New Roman"/>
                        </w:rPr>
                        <w:t xml:space="preserve">У прва два корака циљ нам је одредити у којој мјери се одвија конкуренција између извозника из БиХ и произвођача из Њемачке на тржишту Њемачке (директна конкуренција), те у којој се мјери одвија конкуренција између извозника из БиХ и извозника из Њемачке на </w:t>
                      </w:r>
                      <w:r w:rsidRPr="00E9313A">
                        <w:rPr>
                          <w:rFonts w:ascii="Times New Roman" w:hAnsi="Times New Roman" w:cs="Times New Roman"/>
                          <w:lang w:val="sr-Cyrl-BA"/>
                        </w:rPr>
                        <w:t>т</w:t>
                      </w:r>
                      <w:r w:rsidRPr="00E9313A">
                        <w:rPr>
                          <w:rFonts w:ascii="Times New Roman" w:hAnsi="Times New Roman" w:cs="Times New Roman"/>
                        </w:rPr>
                        <w:t>рећим тржиштима (индиректна конкуренција).</w:t>
                      </w:r>
                    </w:p>
                    <w:p w:rsidR="00632C6C" w:rsidRPr="00E9313A" w:rsidRDefault="00632C6C" w:rsidP="00E9313A">
                      <w:pPr>
                        <w:jc w:val="both"/>
                        <w:rPr>
                          <w:rFonts w:ascii="Times New Roman" w:hAnsi="Times New Roman" w:cs="Times New Roman"/>
                        </w:rPr>
                      </w:pPr>
                      <w:r w:rsidRPr="00E9313A">
                        <w:rPr>
                          <w:rFonts w:ascii="Times New Roman" w:hAnsi="Times New Roman" w:cs="Times New Roman"/>
                        </w:rPr>
                        <w:t>Први корак јесте одређивање важности коју произвођачи из Њемачке имају на своме домаћем тржишту (=283.165), као и важности коју извозници из Њемачке имају на трећим тржиштима (=293.995). Из овога произлази да у укупној понуди производа која је присутна на тржишту Њемачке (искључујући понуду произвођача из БиХ), њемачки произвођачи учествују</w:t>
                      </w:r>
                      <w:r w:rsidRPr="00E9313A">
                        <w:rPr>
                          <w:rFonts w:ascii="Times New Roman" w:hAnsi="Times New Roman" w:cs="Times New Roman"/>
                          <w:lang w:val="sr-Cyrl-BA"/>
                        </w:rPr>
                        <w:t xml:space="preserve"> </w:t>
                      </w:r>
                      <w:r w:rsidRPr="00E9313A">
                        <w:rPr>
                          <w:rFonts w:ascii="Times New Roman" w:hAnsi="Times New Roman" w:cs="Times New Roman"/>
                        </w:rPr>
                        <w:t xml:space="preserve">са 49% (=283.165/(283.165+293.995)), док извозници с </w:t>
                      </w:r>
                      <w:r w:rsidRPr="00E9313A">
                        <w:rPr>
                          <w:rFonts w:ascii="Times New Roman" w:hAnsi="Times New Roman" w:cs="Times New Roman"/>
                          <w:lang w:val="sr-Cyrl-BA"/>
                        </w:rPr>
                        <w:t>т</w:t>
                      </w:r>
                      <w:r w:rsidRPr="00E9313A">
                        <w:rPr>
                          <w:rFonts w:ascii="Times New Roman" w:hAnsi="Times New Roman" w:cs="Times New Roman"/>
                        </w:rPr>
                        <w:t xml:space="preserve">рећих тржишта учествују са 51% (=293.995/(283.165+293.995)). Исто тако се може примијетити да извозници из Њемачке у укупној понуди која је присутна на </w:t>
                      </w:r>
                      <w:r w:rsidRPr="00E9313A">
                        <w:rPr>
                          <w:rFonts w:ascii="Times New Roman" w:hAnsi="Times New Roman" w:cs="Times New Roman"/>
                          <w:lang w:val="sr-Cyrl-BA"/>
                        </w:rPr>
                        <w:t>т</w:t>
                      </w:r>
                      <w:r w:rsidRPr="00E9313A">
                        <w:rPr>
                          <w:rFonts w:ascii="Times New Roman" w:hAnsi="Times New Roman" w:cs="Times New Roman"/>
                        </w:rPr>
                        <w:t xml:space="preserve">рећим тржиштима (опет искључујући понуду произвођача из БиХ) учествују са 16% (=695.920/(695.920+3.570.265)), док остатак долази од осталих произвођача/извозника на </w:t>
                      </w:r>
                      <w:r w:rsidRPr="00E9313A">
                        <w:rPr>
                          <w:rFonts w:ascii="Times New Roman" w:hAnsi="Times New Roman" w:cs="Times New Roman"/>
                          <w:lang w:val="sr-Cyrl-BA"/>
                        </w:rPr>
                        <w:t>т</w:t>
                      </w:r>
                      <w:r w:rsidRPr="00E9313A">
                        <w:rPr>
                          <w:rFonts w:ascii="Times New Roman" w:hAnsi="Times New Roman" w:cs="Times New Roman"/>
                        </w:rPr>
                        <w:t>рећим тржиштима 84% (=3.570.265/(695.920+3.570.265)).</w:t>
                      </w:r>
                    </w:p>
                    <w:p w:rsidR="00632C6C" w:rsidRDefault="00632C6C" w:rsidP="00E9313A"/>
                    <w:p w:rsidR="00632C6C" w:rsidRPr="00E9313A" w:rsidRDefault="00632C6C" w:rsidP="00E9313A"/>
                    <w:p w:rsidR="00632C6C" w:rsidRPr="007C0498" w:rsidRDefault="00632C6C" w:rsidP="00E9313A">
                      <w:pPr>
                        <w:jc w:val="both"/>
                        <w:rPr>
                          <w:rFonts w:ascii="Times New Roman" w:hAnsi="Times New Roman" w:cs="Times New Roman"/>
                          <w:szCs w:val="20"/>
                        </w:rPr>
                      </w:pPr>
                    </w:p>
                    <w:p w:rsidR="00632C6C" w:rsidRDefault="00632C6C"/>
                  </w:txbxContent>
                </v:textbox>
                <w10:wrap type="square" anchorx="margin"/>
              </v:shape>
            </w:pict>
          </mc:Fallback>
        </mc:AlternateContent>
      </w:r>
      <w:r w:rsidR="00EE67EC" w:rsidRPr="00AF6F54">
        <w:rPr>
          <w:rFonts w:ascii="Times New Roman" w:eastAsiaTheme="minorEastAsia" w:hAnsi="Times New Roman" w:cs="Times New Roman"/>
          <w:sz w:val="24"/>
          <w:szCs w:val="24"/>
        </w:rPr>
        <w:t xml:space="preserve">Пондери за израчун ефективних курсева заснивају се на структури увоза и извоза робе прерађивачке индустрије – производи који се према Стандардној међународној трговинској класификацији (СМТК) налазе у сљедећим секторима: хемијски производи (група 5), производи сврстани према материјалу (група 6), </w:t>
      </w:r>
      <w:r w:rsidR="00D474F0" w:rsidRPr="00AF6F54">
        <w:rPr>
          <w:rFonts w:ascii="Times New Roman" w:eastAsiaTheme="minorEastAsia" w:hAnsi="Times New Roman" w:cs="Times New Roman"/>
          <w:sz w:val="24"/>
          <w:szCs w:val="24"/>
          <w:lang w:val="sr-Cyrl-BA"/>
        </w:rPr>
        <w:t>машине</w:t>
      </w:r>
      <w:r w:rsidR="00EE67EC" w:rsidRPr="00AF6F54">
        <w:rPr>
          <w:rFonts w:ascii="Times New Roman" w:eastAsiaTheme="minorEastAsia" w:hAnsi="Times New Roman" w:cs="Times New Roman"/>
          <w:sz w:val="24"/>
          <w:szCs w:val="24"/>
        </w:rPr>
        <w:t xml:space="preserve"> и транспортни уређаји (група 7) и разни готови производи (група 8). Из</w:t>
      </w:r>
      <w:r w:rsidR="00D474F0" w:rsidRPr="00AF6F54">
        <w:rPr>
          <w:rFonts w:ascii="Times New Roman" w:eastAsiaTheme="minorEastAsia" w:hAnsi="Times New Roman" w:cs="Times New Roman"/>
          <w:sz w:val="24"/>
          <w:szCs w:val="24"/>
        </w:rPr>
        <w:t>ворни подаци се преузимању с</w:t>
      </w:r>
      <w:r w:rsidR="00EE67EC" w:rsidRPr="00AF6F54">
        <w:rPr>
          <w:rFonts w:ascii="Times New Roman" w:eastAsiaTheme="minorEastAsia" w:hAnsi="Times New Roman" w:cs="Times New Roman"/>
          <w:sz w:val="24"/>
          <w:szCs w:val="24"/>
        </w:rPr>
        <w:t xml:space="preserve"> интернет странице </w:t>
      </w:r>
      <w:r w:rsidR="00EE67EC" w:rsidRPr="00AF6F54">
        <w:rPr>
          <w:rFonts w:ascii="Times New Roman" w:hAnsi="Times New Roman" w:cs="Times New Roman"/>
          <w:sz w:val="24"/>
        </w:rPr>
        <w:t>UNCTAD</w:t>
      </w:r>
      <w:r w:rsidR="00786970" w:rsidRPr="00AF6F54">
        <w:rPr>
          <w:rFonts w:ascii="Times New Roman" w:hAnsi="Times New Roman" w:cs="Times New Roman"/>
          <w:sz w:val="24"/>
          <w:lang w:val="sr-Cyrl-BA"/>
        </w:rPr>
        <w:t>-</w:t>
      </w:r>
      <w:r w:rsidR="00EE67EC" w:rsidRPr="00AF6F54">
        <w:rPr>
          <w:rFonts w:ascii="Times New Roman" w:hAnsi="Times New Roman" w:cs="Times New Roman"/>
          <w:sz w:val="24"/>
        </w:rPr>
        <w:t>a (UN Commodity Trade Statistics Database).</w:t>
      </w:r>
      <w:r w:rsidRPr="00AF6F54">
        <w:rPr>
          <w:rFonts w:ascii="Times New Roman" w:hAnsi="Times New Roman" w:cs="Times New Roman"/>
          <w:sz w:val="24"/>
        </w:rPr>
        <w:t xml:space="preserve"> </w:t>
      </w:r>
      <w:r w:rsidR="00EE67EC" w:rsidRPr="00AF6F54">
        <w:rPr>
          <w:rFonts w:ascii="Times New Roman" w:eastAsiaTheme="minorEastAsia" w:hAnsi="Times New Roman" w:cs="Times New Roman"/>
          <w:sz w:val="24"/>
          <w:szCs w:val="24"/>
        </w:rPr>
        <w:t>(Подаци су доступни на сљедећем линку:</w:t>
      </w:r>
      <w:r w:rsidRPr="00AF6F54">
        <w:rPr>
          <w:rFonts w:ascii="Times New Roman" w:eastAsiaTheme="minorEastAsia" w:hAnsi="Times New Roman" w:cs="Times New Roman"/>
          <w:sz w:val="24"/>
          <w:szCs w:val="24"/>
        </w:rPr>
        <w:t xml:space="preserve"> </w:t>
      </w:r>
    </w:p>
    <w:p w:rsidR="00E9313A" w:rsidRPr="00AF6F54" w:rsidRDefault="00AF6F54" w:rsidP="00E9313A">
      <w:pPr>
        <w:rPr>
          <w:rFonts w:ascii="Times New Roman" w:hAnsi="Times New Roman" w:cs="Times New Roman"/>
          <w:sz w:val="24"/>
          <w:szCs w:val="24"/>
        </w:rPr>
      </w:pPr>
      <w:hyperlink r:id="rId8" w:history="1">
        <w:r w:rsidR="00E9313A" w:rsidRPr="00AF6F54">
          <w:rPr>
            <w:rStyle w:val="Hyperlink"/>
            <w:rFonts w:ascii="Times New Roman" w:hAnsi="Times New Roman" w:cs="Times New Roman"/>
            <w:sz w:val="24"/>
            <w:szCs w:val="24"/>
          </w:rPr>
          <w:t>http://unctadstat.unctad.org/wds/ReportFolders/reportFolders.aspx?sCS_ChosenLang=en</w:t>
        </w:r>
      </w:hyperlink>
      <w:r w:rsidR="00E9313A" w:rsidRPr="00AF6F54">
        <w:rPr>
          <w:rFonts w:ascii="Times New Roman" w:hAnsi="Times New Roman" w:cs="Times New Roman"/>
          <w:sz w:val="24"/>
          <w:szCs w:val="24"/>
        </w:rPr>
        <w:t>)</w:t>
      </w:r>
    </w:p>
    <w:p w:rsidR="00373E38" w:rsidRPr="00AF6F54" w:rsidRDefault="00E9313A" w:rsidP="00632C6C">
      <w:pPr>
        <w:pStyle w:val="Heading2"/>
        <w:ind w:firstLine="360"/>
        <w:rPr>
          <w:color w:val="1F4D78" w:themeColor="accent1" w:themeShade="7F"/>
          <w:sz w:val="24"/>
          <w:szCs w:val="24"/>
          <w:lang w:val="bs-Latn-BA"/>
        </w:rPr>
      </w:pPr>
      <w:r w:rsidRPr="00AF6F54">
        <w:rPr>
          <w:noProof/>
          <w:color w:val="1F4D78" w:themeColor="accent1" w:themeShade="7F"/>
          <w:sz w:val="24"/>
          <w:szCs w:val="24"/>
          <w:lang w:val="bs-Latn-BA" w:eastAsia="bs-Latn-BA"/>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0</wp:posOffset>
                </wp:positionV>
                <wp:extent cx="5800725" cy="2809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809875"/>
                        </a:xfrm>
                        <a:prstGeom prst="rect">
                          <a:avLst/>
                        </a:prstGeom>
                        <a:solidFill>
                          <a:schemeClr val="bg1">
                            <a:lumMod val="95000"/>
                          </a:schemeClr>
                        </a:solidFill>
                        <a:ln w="9525">
                          <a:solidFill>
                            <a:srgbClr val="000000"/>
                          </a:solidFill>
                          <a:miter lim="800000"/>
                          <a:headEnd/>
                          <a:tailEnd/>
                        </a:ln>
                      </wps:spPr>
                      <wps:txbx>
                        <w:txbxContent>
                          <w:p w:rsidR="00632C6C" w:rsidRPr="00E9313A" w:rsidRDefault="00632C6C" w:rsidP="00E9313A">
                            <w:pPr>
                              <w:jc w:val="both"/>
                              <w:rPr>
                                <w:rFonts w:ascii="Times New Roman" w:hAnsi="Times New Roman" w:cs="Times New Roman"/>
                              </w:rPr>
                            </w:pPr>
                            <w:r w:rsidRPr="00E9313A">
                              <w:rPr>
                                <w:rFonts w:ascii="Times New Roman" w:hAnsi="Times New Roman" w:cs="Times New Roman"/>
                              </w:rPr>
                              <w:t xml:space="preserve">Други корак је одредити колику важност тржиште Њемачке и </w:t>
                            </w:r>
                            <w:r w:rsidRPr="00E9313A">
                              <w:rPr>
                                <w:rFonts w:ascii="Times New Roman" w:hAnsi="Times New Roman" w:cs="Times New Roman"/>
                                <w:lang w:val="sr-Cyrl-BA"/>
                              </w:rPr>
                              <w:t>т</w:t>
                            </w:r>
                            <w:r w:rsidRPr="00E9313A">
                              <w:rPr>
                                <w:rFonts w:ascii="Times New Roman" w:hAnsi="Times New Roman" w:cs="Times New Roman"/>
                              </w:rPr>
                              <w:t>рећа тржишта имају за извознике из БиХ, да бисмо одредили у којој су мјери извозници из БиХ присутни на тржишту гдје се одвија директна конкуренција (тржиште Њемачке) односно на тржишту гдје се одвија индиректна конкуренција (</w:t>
                            </w:r>
                            <w:r w:rsidRPr="00E9313A">
                              <w:rPr>
                                <w:rFonts w:ascii="Times New Roman" w:hAnsi="Times New Roman" w:cs="Times New Roman"/>
                                <w:lang w:val="sr-Cyrl-BA"/>
                              </w:rPr>
                              <w:t>т</w:t>
                            </w:r>
                            <w:r w:rsidRPr="00E9313A">
                              <w:rPr>
                                <w:rFonts w:ascii="Times New Roman" w:hAnsi="Times New Roman" w:cs="Times New Roman"/>
                              </w:rPr>
                              <w:t xml:space="preserve">рећа тржишта). То се постиже израчуном једноставног извозног пондера који показује колико споменута два тржишта учествују у укупном извозу БиХ, тржиште Њемачке у укупном извозу БиХ учествује са 21% (=183/(183+708)), док </w:t>
                            </w:r>
                            <w:r w:rsidRPr="00E9313A">
                              <w:rPr>
                                <w:rFonts w:ascii="Times New Roman" w:hAnsi="Times New Roman" w:cs="Times New Roman"/>
                                <w:lang w:val="sr-Cyrl-BA"/>
                              </w:rPr>
                              <w:t>т</w:t>
                            </w:r>
                            <w:r w:rsidRPr="00E9313A">
                              <w:rPr>
                                <w:rFonts w:ascii="Times New Roman" w:hAnsi="Times New Roman" w:cs="Times New Roman"/>
                              </w:rPr>
                              <w:t>рећа тржишта учествују са 79%.</w:t>
                            </w:r>
                          </w:p>
                          <w:p w:rsidR="00632C6C" w:rsidRPr="00E9313A" w:rsidRDefault="00632C6C" w:rsidP="00E9313A">
                            <w:pPr>
                              <w:jc w:val="both"/>
                              <w:rPr>
                                <w:rFonts w:ascii="Times New Roman" w:hAnsi="Times New Roman" w:cs="Times New Roman"/>
                              </w:rPr>
                            </w:pPr>
                            <w:r w:rsidRPr="00E9313A">
                              <w:rPr>
                                <w:rFonts w:ascii="Times New Roman" w:hAnsi="Times New Roman" w:cs="Times New Roman"/>
                              </w:rPr>
                              <w:t>Комбинацијом резултата првог и другог корака добива се двоструко пондерисани извозни пондер за Њемачку (важност која се Њемачкој придаје у директној и индиректној конкуренцији).</w:t>
                            </w:r>
                          </w:p>
                          <w:p w:rsidR="00632C6C" w:rsidRPr="00E9313A" w:rsidRDefault="00632C6C" w:rsidP="00E9313A">
                            <w:pPr>
                              <w:jc w:val="both"/>
                              <w:rPr>
                                <w:rFonts w:ascii="Times New Roman" w:hAnsi="Times New Roman" w:cs="Times New Roman"/>
                              </w:rPr>
                            </w:pPr>
                            <w:r w:rsidRPr="00E9313A">
                              <w:rPr>
                                <w:rFonts w:ascii="Times New Roman" w:hAnsi="Times New Roman" w:cs="Times New Roman"/>
                              </w:rPr>
                              <w:t xml:space="preserve">Укупни трговински пондер се добије комбинацијом билатералног увозног пондера с двоструко пондерисаним извозним пондером. </w:t>
                            </w:r>
                          </w:p>
                          <w:p w:rsidR="00632C6C" w:rsidRDefault="00632C6C" w:rsidP="00E9313A">
                            <w:pPr>
                              <w:jc w:val="both"/>
                              <w:rPr>
                                <w:rFonts w:ascii="Times New Roman" w:hAnsi="Times New Roman" w:cs="Times New Roman"/>
                              </w:rPr>
                            </w:pPr>
                            <w:r w:rsidRPr="00E9313A">
                              <w:rPr>
                                <w:rFonts w:ascii="Times New Roman" w:hAnsi="Times New Roman" w:cs="Times New Roman"/>
                              </w:rPr>
                              <w:t>Једноставни увозни пондери се рачунају користећи увоз из Њемачке (=500), гдје једноставни увозни пондери за Њемачку износе 17% (=500/(500+2.442)).</w:t>
                            </w:r>
                          </w:p>
                          <w:p w:rsidR="00632C6C" w:rsidRDefault="00632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56.75pt;height:221.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" fillcolor="#f2f2f2 [3052]">
                <v:textbox>
                  <w:txbxContent>
                    <w:p w:rsidR="00632C6C" w:rsidRPr="00E9313A" w:rsidRDefault="00632C6C" w:rsidP="00E9313A">
                      <w:pPr>
                        <w:jc w:val="both"/>
                        <w:rPr>
                          <w:rFonts w:ascii="Times New Roman" w:hAnsi="Times New Roman" w:cs="Times New Roman"/>
                        </w:rPr>
                      </w:pPr>
                      <w:r w:rsidRPr="00E9313A">
                        <w:rPr>
                          <w:rFonts w:ascii="Times New Roman" w:hAnsi="Times New Roman" w:cs="Times New Roman"/>
                        </w:rPr>
                        <w:t xml:space="preserve">Други корак је одредити колику важност тржиште Њемачке и </w:t>
                      </w:r>
                      <w:r w:rsidRPr="00E9313A">
                        <w:rPr>
                          <w:rFonts w:ascii="Times New Roman" w:hAnsi="Times New Roman" w:cs="Times New Roman"/>
                          <w:lang w:val="sr-Cyrl-BA"/>
                        </w:rPr>
                        <w:t>т</w:t>
                      </w:r>
                      <w:r w:rsidRPr="00E9313A">
                        <w:rPr>
                          <w:rFonts w:ascii="Times New Roman" w:hAnsi="Times New Roman" w:cs="Times New Roman"/>
                        </w:rPr>
                        <w:t>рећа тржишта имају за извознике из БиХ, да бисмо одредили у којој су мјери извозници из БиХ присутни на тржишту гдје се одвија директна конкуренција (тржиште Њемачке) односно на тржишту гдје се одвија индиректна конкуренција (</w:t>
                      </w:r>
                      <w:r w:rsidRPr="00E9313A">
                        <w:rPr>
                          <w:rFonts w:ascii="Times New Roman" w:hAnsi="Times New Roman" w:cs="Times New Roman"/>
                          <w:lang w:val="sr-Cyrl-BA"/>
                        </w:rPr>
                        <w:t>т</w:t>
                      </w:r>
                      <w:r w:rsidRPr="00E9313A">
                        <w:rPr>
                          <w:rFonts w:ascii="Times New Roman" w:hAnsi="Times New Roman" w:cs="Times New Roman"/>
                        </w:rPr>
                        <w:t xml:space="preserve">рећа тржишта). То се постиже израчуном једноставног извозног пондера који показује колико споменута два тржишта учествују у укупном извозу БиХ, тржиште Њемачке у укупном извозу БиХ учествује са 21% (=183/(183+708)), док </w:t>
                      </w:r>
                      <w:r w:rsidRPr="00E9313A">
                        <w:rPr>
                          <w:rFonts w:ascii="Times New Roman" w:hAnsi="Times New Roman" w:cs="Times New Roman"/>
                          <w:lang w:val="sr-Cyrl-BA"/>
                        </w:rPr>
                        <w:t>т</w:t>
                      </w:r>
                      <w:r w:rsidRPr="00E9313A">
                        <w:rPr>
                          <w:rFonts w:ascii="Times New Roman" w:hAnsi="Times New Roman" w:cs="Times New Roman"/>
                        </w:rPr>
                        <w:t>рећа тржишта учествују са 79%.</w:t>
                      </w:r>
                    </w:p>
                    <w:p w:rsidR="00632C6C" w:rsidRPr="00E9313A" w:rsidRDefault="00632C6C" w:rsidP="00E9313A">
                      <w:pPr>
                        <w:jc w:val="both"/>
                        <w:rPr>
                          <w:rFonts w:ascii="Times New Roman" w:hAnsi="Times New Roman" w:cs="Times New Roman"/>
                        </w:rPr>
                      </w:pPr>
                      <w:r w:rsidRPr="00E9313A">
                        <w:rPr>
                          <w:rFonts w:ascii="Times New Roman" w:hAnsi="Times New Roman" w:cs="Times New Roman"/>
                        </w:rPr>
                        <w:t>Комбинацијом резултата првог и другог корака добива се двоструко пондерисани извозни пондер за Њемачку (важност која се Њемачкој придаје у директној и индиректној конкуренцији).</w:t>
                      </w:r>
                    </w:p>
                    <w:p w:rsidR="00632C6C" w:rsidRPr="00E9313A" w:rsidRDefault="00632C6C" w:rsidP="00E9313A">
                      <w:pPr>
                        <w:jc w:val="both"/>
                        <w:rPr>
                          <w:rFonts w:ascii="Times New Roman" w:hAnsi="Times New Roman" w:cs="Times New Roman"/>
                        </w:rPr>
                      </w:pPr>
                      <w:r w:rsidRPr="00E9313A">
                        <w:rPr>
                          <w:rFonts w:ascii="Times New Roman" w:hAnsi="Times New Roman" w:cs="Times New Roman"/>
                        </w:rPr>
                        <w:t xml:space="preserve">Укупни трговински пондер се добије комбинацијом билатералног увозног пондера с двоструко пондерисаним извозним пондером. </w:t>
                      </w:r>
                    </w:p>
                    <w:p w:rsidR="00632C6C" w:rsidRDefault="00632C6C" w:rsidP="00E9313A">
                      <w:pPr>
                        <w:jc w:val="both"/>
                        <w:rPr>
                          <w:rFonts w:ascii="Times New Roman" w:hAnsi="Times New Roman" w:cs="Times New Roman"/>
                        </w:rPr>
                      </w:pPr>
                      <w:r w:rsidRPr="00E9313A">
                        <w:rPr>
                          <w:rFonts w:ascii="Times New Roman" w:hAnsi="Times New Roman" w:cs="Times New Roman"/>
                        </w:rPr>
                        <w:t>Једноставни увозни пондери се рачунају користећи увоз из Њемачке (=500), гдје једноставни увозни пондери за Њемачку износе 17% (=500/(500+2.442)).</w:t>
                      </w:r>
                    </w:p>
                    <w:p w:rsidR="00632C6C" w:rsidRDefault="00632C6C"/>
                  </w:txbxContent>
                </v:textbox>
                <w10:wrap type="square" anchorx="margin"/>
              </v:shape>
            </w:pict>
          </mc:Fallback>
        </mc:AlternateContent>
      </w:r>
      <w:r w:rsidR="00E46109" w:rsidRPr="00AF6F54">
        <w:rPr>
          <w:color w:val="1F4D78" w:themeColor="accent1" w:themeShade="7F"/>
          <w:sz w:val="24"/>
          <w:szCs w:val="24"/>
          <w:lang w:val="bs-Latn-BA"/>
        </w:rPr>
        <w:t>Одабир трговинских партнера</w:t>
      </w:r>
    </w:p>
    <w:p w:rsidR="00E46109" w:rsidRPr="00AF6F54" w:rsidRDefault="00E46109" w:rsidP="00E46109">
      <w:pPr>
        <w:spacing w:after="200" w:line="276" w:lineRule="auto"/>
        <w:jc w:val="both"/>
        <w:rPr>
          <w:rFonts w:ascii="Times New Roman" w:hAnsi="Times New Roman" w:cs="Times New Roman"/>
          <w:sz w:val="24"/>
          <w:szCs w:val="24"/>
        </w:rPr>
      </w:pPr>
      <w:r w:rsidRPr="00AF6F54">
        <w:rPr>
          <w:rFonts w:ascii="Times New Roman" w:hAnsi="Times New Roman" w:cs="Times New Roman"/>
          <w:sz w:val="24"/>
          <w:szCs w:val="24"/>
        </w:rPr>
        <w:t>Избор земаља које улазе у корпу одређен је на основи у</w:t>
      </w:r>
      <w:r w:rsidR="00786970" w:rsidRPr="00AF6F54">
        <w:rPr>
          <w:rFonts w:ascii="Times New Roman" w:hAnsi="Times New Roman" w:cs="Times New Roman"/>
          <w:sz w:val="24"/>
          <w:szCs w:val="24"/>
          <w:lang w:val="sr-Cyrl-BA"/>
        </w:rPr>
        <w:t>чешћа</w:t>
      </w:r>
      <w:r w:rsidRPr="00AF6F54">
        <w:rPr>
          <w:rFonts w:ascii="Times New Roman" w:hAnsi="Times New Roman" w:cs="Times New Roman"/>
          <w:sz w:val="24"/>
          <w:szCs w:val="24"/>
        </w:rPr>
        <w:t xml:space="preserve"> поједине земље партнера у укупној </w:t>
      </w:r>
      <w:r w:rsidR="00D474F0" w:rsidRPr="00AF6F54">
        <w:rPr>
          <w:rFonts w:ascii="Times New Roman" w:hAnsi="Times New Roman" w:cs="Times New Roman"/>
          <w:sz w:val="24"/>
          <w:szCs w:val="24"/>
          <w:lang w:val="sr-Cyrl-BA"/>
        </w:rPr>
        <w:t>бх. спољној</w:t>
      </w:r>
      <w:r w:rsidRPr="00AF6F54">
        <w:rPr>
          <w:rFonts w:ascii="Times New Roman" w:hAnsi="Times New Roman" w:cs="Times New Roman"/>
          <w:sz w:val="24"/>
          <w:szCs w:val="24"/>
        </w:rPr>
        <w:t xml:space="preserve"> трговини прерађивачке индустрије (у рубрикама 5</w:t>
      </w:r>
      <w:r w:rsidR="00D474F0" w:rsidRPr="00AF6F54">
        <w:rPr>
          <w:rFonts w:ascii="Times New Roman" w:hAnsi="Times New Roman" w:cs="Times New Roman"/>
          <w:sz w:val="24"/>
          <w:szCs w:val="24"/>
          <w:lang w:val="sr-Cyrl-BA"/>
        </w:rPr>
        <w:t>-</w:t>
      </w:r>
      <w:r w:rsidRPr="00AF6F54">
        <w:rPr>
          <w:rFonts w:ascii="Times New Roman" w:hAnsi="Times New Roman" w:cs="Times New Roman"/>
          <w:sz w:val="24"/>
          <w:szCs w:val="24"/>
        </w:rPr>
        <w:t>8 СМТК).</w:t>
      </w:r>
    </w:p>
    <w:p w:rsidR="00E46109" w:rsidRPr="00AF6F54" w:rsidRDefault="00E46109" w:rsidP="00E46109">
      <w:pPr>
        <w:spacing w:after="200" w:line="276" w:lineRule="auto"/>
        <w:jc w:val="both"/>
        <w:rPr>
          <w:rFonts w:ascii="Times New Roman" w:hAnsi="Times New Roman" w:cs="Times New Roman"/>
          <w:sz w:val="24"/>
          <w:szCs w:val="24"/>
        </w:rPr>
      </w:pPr>
      <w:r w:rsidRPr="00AF6F54">
        <w:rPr>
          <w:rFonts w:ascii="Times New Roman" w:hAnsi="Times New Roman" w:cs="Times New Roman"/>
          <w:sz w:val="24"/>
          <w:szCs w:val="24"/>
        </w:rPr>
        <w:t>Према наведеном критеријуму</w:t>
      </w:r>
      <w:r w:rsidR="00D474F0" w:rsidRPr="00AF6F54">
        <w:rPr>
          <w:rFonts w:ascii="Times New Roman" w:hAnsi="Times New Roman" w:cs="Times New Roman"/>
          <w:sz w:val="24"/>
          <w:szCs w:val="24"/>
          <w:lang w:val="sr-Cyrl-BA"/>
        </w:rPr>
        <w:t>,</w:t>
      </w:r>
      <w:r w:rsidRPr="00AF6F54">
        <w:rPr>
          <w:rFonts w:ascii="Times New Roman" w:hAnsi="Times New Roman" w:cs="Times New Roman"/>
          <w:sz w:val="24"/>
          <w:szCs w:val="24"/>
        </w:rPr>
        <w:t xml:space="preserve"> </w:t>
      </w:r>
      <w:r w:rsidR="00D474F0" w:rsidRPr="00AF6F54">
        <w:rPr>
          <w:rFonts w:ascii="Times New Roman" w:hAnsi="Times New Roman" w:cs="Times New Roman"/>
          <w:sz w:val="24"/>
          <w:szCs w:val="24"/>
          <w:lang w:val="sr-Cyrl-BA"/>
        </w:rPr>
        <w:t xml:space="preserve">групу </w:t>
      </w:r>
      <w:r w:rsidRPr="00AF6F54">
        <w:rPr>
          <w:rFonts w:ascii="Times New Roman" w:hAnsi="Times New Roman" w:cs="Times New Roman"/>
          <w:sz w:val="24"/>
          <w:szCs w:val="24"/>
        </w:rPr>
        <w:t>земаља за формирање индекса ефективног курса KМ чини 21 најзначајнији трговински партнер.</w:t>
      </w:r>
      <w:r w:rsidR="00BE23DB" w:rsidRPr="00AF6F54">
        <w:rPr>
          <w:rFonts w:ascii="Times New Roman" w:hAnsi="Times New Roman" w:cs="Times New Roman"/>
          <w:sz w:val="24"/>
          <w:szCs w:val="24"/>
        </w:rPr>
        <w:t xml:space="preserve"> </w:t>
      </w:r>
      <w:r w:rsidR="00632C6C" w:rsidRPr="00AF6F54">
        <w:rPr>
          <w:rFonts w:ascii="Times New Roman" w:hAnsi="Times New Roman" w:cs="Times New Roman"/>
          <w:sz w:val="24"/>
          <w:szCs w:val="24"/>
        </w:rPr>
        <w:t xml:space="preserve">Групу чине Аустрија, Белгија, Црна Гора, Чешка, Француска, Холандија, Хрватска, Италија, Kина, Мађарска, Њемачка, Пољска, Румунија, Русија, Сједињене Америчке Државе, Сјеверна Македонија, Словенија, Србија, </w:t>
      </w:r>
      <w:r w:rsidR="00B8463E" w:rsidRPr="00AF6F54">
        <w:rPr>
          <w:rFonts w:ascii="Times New Roman" w:hAnsi="Times New Roman" w:cs="Times New Roman"/>
          <w:sz w:val="24"/>
          <w:szCs w:val="24"/>
        </w:rPr>
        <w:t>Швајцарска</w:t>
      </w:r>
      <w:r w:rsidR="00632C6C" w:rsidRPr="00AF6F54">
        <w:rPr>
          <w:rFonts w:ascii="Times New Roman" w:hAnsi="Times New Roman" w:cs="Times New Roman"/>
          <w:sz w:val="24"/>
          <w:szCs w:val="24"/>
        </w:rPr>
        <w:t>, Турска и Велика Британија. Дате земље чине око 90% укупне вањске трговине прерађивачким производима БиХ.</w:t>
      </w:r>
    </w:p>
    <w:p w:rsidR="00373E38" w:rsidRPr="00AF6F54" w:rsidRDefault="00E46109" w:rsidP="0096025B">
      <w:pPr>
        <w:pStyle w:val="Caption"/>
        <w:rPr>
          <w:i w:val="0"/>
        </w:rPr>
      </w:pPr>
      <w:r w:rsidRPr="00AF6F54">
        <w:t xml:space="preserve">Слика 2 </w:t>
      </w:r>
      <w:r w:rsidRPr="00AF6F54">
        <w:rPr>
          <w:i w:val="0"/>
        </w:rPr>
        <w:t>Тржишн</w:t>
      </w:r>
      <w:r w:rsidR="00786970" w:rsidRPr="00AF6F54">
        <w:rPr>
          <w:i w:val="0"/>
          <w:lang w:val="sr-Cyrl-BA"/>
        </w:rPr>
        <w:t>о</w:t>
      </w:r>
      <w:r w:rsidRPr="00AF6F54">
        <w:rPr>
          <w:i w:val="0"/>
        </w:rPr>
        <w:t xml:space="preserve"> у</w:t>
      </w:r>
      <w:r w:rsidR="00786970" w:rsidRPr="00AF6F54">
        <w:rPr>
          <w:i w:val="0"/>
          <w:lang w:val="sr-Cyrl-BA"/>
        </w:rPr>
        <w:t>чешће</w:t>
      </w:r>
      <w:r w:rsidRPr="00AF6F54">
        <w:rPr>
          <w:i w:val="0"/>
        </w:rPr>
        <w:t xml:space="preserve"> у </w:t>
      </w:r>
      <w:r w:rsidR="00D474F0" w:rsidRPr="00AF6F54">
        <w:rPr>
          <w:i w:val="0"/>
          <w:lang w:val="sr-Cyrl-BA"/>
        </w:rPr>
        <w:t>спољнот</w:t>
      </w:r>
      <w:r w:rsidR="00D474F0" w:rsidRPr="00AF6F54">
        <w:rPr>
          <w:i w:val="0"/>
        </w:rPr>
        <w:t>рговинској размјени БиХ (5-</w:t>
      </w:r>
      <w:r w:rsidRPr="00AF6F54">
        <w:rPr>
          <w:i w:val="0"/>
        </w:rPr>
        <w:t>8 СМТК)</w:t>
      </w:r>
    </w:p>
    <w:tbl>
      <w:tblPr>
        <w:tblStyle w:val="PlainTable51"/>
        <w:tblW w:w="0" w:type="auto"/>
        <w:tblLook w:val="04A0" w:firstRow="1" w:lastRow="0" w:firstColumn="1" w:lastColumn="0" w:noHBand="0" w:noVBand="1"/>
      </w:tblPr>
      <w:tblGrid>
        <w:gridCol w:w="2469"/>
        <w:gridCol w:w="1135"/>
        <w:gridCol w:w="1135"/>
        <w:gridCol w:w="1135"/>
        <w:gridCol w:w="1135"/>
        <w:gridCol w:w="1135"/>
      </w:tblGrid>
      <w:tr w:rsidR="00632C6C" w:rsidRPr="00AF6F54" w:rsidTr="00632C6C">
        <w:trPr>
          <w:cnfStyle w:val="100000000000" w:firstRow="1" w:lastRow="0" w:firstColumn="0" w:lastColumn="0" w:oddVBand="0" w:evenVBand="0" w:oddHBand="0" w:evenHBand="0" w:firstRowFirstColumn="0" w:firstRowLastColumn="0" w:lastRowFirstColumn="0" w:lastRowLastColumn="0"/>
          <w:trHeight w:val="528"/>
        </w:trPr>
        <w:tc>
          <w:tcPr>
            <w:cnfStyle w:val="001000000100" w:firstRow="0" w:lastRow="0" w:firstColumn="1" w:lastColumn="0" w:oddVBand="0" w:evenVBand="0" w:oddHBand="0" w:evenHBand="0" w:firstRowFirstColumn="1" w:firstRowLastColumn="0" w:lastRowFirstColumn="0" w:lastRowLastColumn="0"/>
            <w:tcW w:w="0" w:type="auto"/>
            <w:noWrap/>
            <w:hideMark/>
          </w:tcPr>
          <w:p w:rsidR="00632C6C" w:rsidRPr="00AF6F54" w:rsidRDefault="00632C6C" w:rsidP="00632C6C">
            <w:pPr>
              <w:jc w:val="center"/>
              <w:rPr>
                <w:rFonts w:ascii="Times" w:eastAsia="Times New Roman" w:hAnsi="Times" w:cs="Times"/>
                <w:b/>
                <w:bCs/>
                <w:color w:val="000000"/>
                <w:sz w:val="20"/>
                <w:szCs w:val="20"/>
                <w:lang w:eastAsia="bs-Latn-BA"/>
              </w:rPr>
            </w:pPr>
            <w:r w:rsidRPr="00AF6F54">
              <w:rPr>
                <w:rFonts w:ascii="Times" w:eastAsia="Times New Roman" w:hAnsi="Times" w:cs="Times"/>
                <w:b/>
                <w:bCs/>
                <w:color w:val="000000"/>
                <w:sz w:val="20"/>
                <w:szCs w:val="20"/>
                <w:lang w:eastAsia="bs-Latn-BA"/>
              </w:rPr>
              <w:t>Земља</w:t>
            </w:r>
          </w:p>
        </w:tc>
        <w:tc>
          <w:tcPr>
            <w:tcW w:w="0" w:type="auto"/>
            <w:hideMark/>
          </w:tcPr>
          <w:p w:rsidR="00632C6C" w:rsidRPr="00AF6F54" w:rsidRDefault="00632C6C" w:rsidP="00632C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eastAsia="bs-Latn-BA"/>
              </w:rPr>
            </w:pPr>
            <w:r w:rsidRPr="00AF6F54">
              <w:rPr>
                <w:rFonts w:ascii="Times" w:eastAsia="Times New Roman" w:hAnsi="Times" w:cs="Times"/>
                <w:b/>
                <w:bCs/>
                <w:color w:val="000000"/>
                <w:sz w:val="20"/>
                <w:szCs w:val="20"/>
                <w:lang w:eastAsia="bs-Latn-BA"/>
              </w:rPr>
              <w:t>Просјек за</w:t>
            </w:r>
            <w:r w:rsidRPr="00AF6F54">
              <w:rPr>
                <w:rFonts w:ascii="Times" w:eastAsia="Times New Roman" w:hAnsi="Times" w:cs="Times"/>
                <w:b/>
                <w:bCs/>
                <w:color w:val="000000"/>
                <w:sz w:val="20"/>
                <w:szCs w:val="20"/>
                <w:lang w:eastAsia="bs-Latn-BA"/>
              </w:rPr>
              <w:br/>
              <w:t>2004-2006</w:t>
            </w:r>
          </w:p>
        </w:tc>
        <w:tc>
          <w:tcPr>
            <w:tcW w:w="0" w:type="auto"/>
            <w:hideMark/>
          </w:tcPr>
          <w:p w:rsidR="00632C6C" w:rsidRPr="00AF6F54" w:rsidRDefault="00632C6C" w:rsidP="00632C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eastAsia="bs-Latn-BA"/>
              </w:rPr>
            </w:pPr>
            <w:r w:rsidRPr="00AF6F54">
              <w:rPr>
                <w:rFonts w:ascii="Times" w:eastAsia="Times New Roman" w:hAnsi="Times" w:cs="Times"/>
                <w:b/>
                <w:bCs/>
                <w:color w:val="000000"/>
                <w:sz w:val="20"/>
                <w:szCs w:val="20"/>
                <w:lang w:eastAsia="bs-Latn-BA"/>
              </w:rPr>
              <w:t>Просјек за</w:t>
            </w:r>
            <w:r w:rsidRPr="00AF6F54">
              <w:rPr>
                <w:rFonts w:ascii="Times" w:eastAsia="Times New Roman" w:hAnsi="Times" w:cs="Times"/>
                <w:b/>
                <w:bCs/>
                <w:color w:val="000000"/>
                <w:sz w:val="20"/>
                <w:szCs w:val="20"/>
                <w:lang w:eastAsia="bs-Latn-BA"/>
              </w:rPr>
              <w:br/>
              <w:t>2007-2009</w:t>
            </w:r>
          </w:p>
        </w:tc>
        <w:tc>
          <w:tcPr>
            <w:tcW w:w="0" w:type="auto"/>
            <w:hideMark/>
          </w:tcPr>
          <w:p w:rsidR="00632C6C" w:rsidRPr="00AF6F54" w:rsidRDefault="00632C6C" w:rsidP="00632C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eastAsia="bs-Latn-BA"/>
              </w:rPr>
            </w:pPr>
            <w:r w:rsidRPr="00AF6F54">
              <w:rPr>
                <w:rFonts w:ascii="Times" w:eastAsia="Times New Roman" w:hAnsi="Times" w:cs="Times"/>
                <w:b/>
                <w:bCs/>
                <w:color w:val="000000"/>
                <w:sz w:val="20"/>
                <w:szCs w:val="20"/>
                <w:lang w:eastAsia="bs-Latn-BA"/>
              </w:rPr>
              <w:t>Просјек за</w:t>
            </w:r>
            <w:r w:rsidRPr="00AF6F54">
              <w:rPr>
                <w:rFonts w:ascii="Times" w:eastAsia="Times New Roman" w:hAnsi="Times" w:cs="Times"/>
                <w:b/>
                <w:bCs/>
                <w:color w:val="000000"/>
                <w:sz w:val="20"/>
                <w:szCs w:val="20"/>
                <w:lang w:eastAsia="bs-Latn-BA"/>
              </w:rPr>
              <w:br/>
              <w:t>2010-2012</w:t>
            </w:r>
          </w:p>
        </w:tc>
        <w:tc>
          <w:tcPr>
            <w:tcW w:w="0" w:type="auto"/>
            <w:hideMark/>
          </w:tcPr>
          <w:p w:rsidR="00632C6C" w:rsidRPr="00AF6F54" w:rsidRDefault="00632C6C" w:rsidP="00632C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eastAsia="bs-Latn-BA"/>
              </w:rPr>
            </w:pPr>
            <w:r w:rsidRPr="00AF6F54">
              <w:rPr>
                <w:rFonts w:ascii="Times" w:eastAsia="Times New Roman" w:hAnsi="Times" w:cs="Times"/>
                <w:b/>
                <w:bCs/>
                <w:color w:val="000000"/>
                <w:sz w:val="20"/>
                <w:szCs w:val="20"/>
                <w:lang w:eastAsia="bs-Latn-BA"/>
              </w:rPr>
              <w:t>Просјек за</w:t>
            </w:r>
            <w:r w:rsidRPr="00AF6F54">
              <w:rPr>
                <w:rFonts w:ascii="Times" w:eastAsia="Times New Roman" w:hAnsi="Times" w:cs="Times"/>
                <w:b/>
                <w:bCs/>
                <w:color w:val="000000"/>
                <w:sz w:val="20"/>
                <w:szCs w:val="20"/>
                <w:lang w:eastAsia="bs-Latn-BA"/>
              </w:rPr>
              <w:br/>
              <w:t>2013-2015</w:t>
            </w:r>
          </w:p>
        </w:tc>
        <w:tc>
          <w:tcPr>
            <w:tcW w:w="0" w:type="auto"/>
            <w:hideMark/>
          </w:tcPr>
          <w:p w:rsidR="00632C6C" w:rsidRPr="00AF6F54" w:rsidRDefault="00632C6C" w:rsidP="00632C6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eastAsia="bs-Latn-BA"/>
              </w:rPr>
            </w:pPr>
            <w:r w:rsidRPr="00AF6F54">
              <w:rPr>
                <w:rFonts w:ascii="Times" w:eastAsia="Times New Roman" w:hAnsi="Times" w:cs="Times"/>
                <w:b/>
                <w:bCs/>
                <w:color w:val="000000"/>
                <w:sz w:val="20"/>
                <w:szCs w:val="20"/>
                <w:lang w:eastAsia="bs-Latn-BA"/>
              </w:rPr>
              <w:t>Просјек за</w:t>
            </w:r>
            <w:r w:rsidRPr="00AF6F54">
              <w:rPr>
                <w:rFonts w:ascii="Times" w:eastAsia="Times New Roman" w:hAnsi="Times" w:cs="Times"/>
                <w:b/>
                <w:bCs/>
                <w:color w:val="000000"/>
                <w:sz w:val="20"/>
                <w:szCs w:val="20"/>
                <w:lang w:eastAsia="bs-Latn-BA"/>
              </w:rPr>
              <w:br/>
              <w:t>2016-2018</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Аустрија</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6,2%</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7,0%</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8,1%</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8,5%</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8,6%</w:t>
            </w:r>
          </w:p>
        </w:tc>
      </w:tr>
      <w:tr w:rsidR="00632C6C" w:rsidRPr="00AF6F54" w:rsidTr="00632C6C">
        <w:trPr>
          <w:trHeight w:val="131"/>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Белгија</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1,0%</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1,1%</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0,9%</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0,9%</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1,0%</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Црна Гора</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0,0%</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0,8%</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0,9%</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0,9%</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1,1%</w:t>
            </w:r>
          </w:p>
        </w:tc>
      </w:tr>
      <w:tr w:rsidR="00632C6C" w:rsidRPr="00AF6F54" w:rsidTr="00632C6C">
        <w:trPr>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Чешка</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2,0%</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2,0%</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1,9%</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1,9%</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1,8%</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Француска</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2,6%</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1,9%</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2,0%</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2,1%</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2,1%</w:t>
            </w:r>
          </w:p>
        </w:tc>
      </w:tr>
      <w:tr w:rsidR="00632C6C" w:rsidRPr="00AF6F54" w:rsidTr="00632C6C">
        <w:trPr>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Холандија</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1,2%</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1,4%</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1,5%</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1,7%</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2,2%</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Хрватска</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15,8%</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14,5%</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11,5%</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10,2%</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10,1%</w:t>
            </w:r>
          </w:p>
        </w:tc>
      </w:tr>
      <w:tr w:rsidR="00632C6C" w:rsidRPr="00AF6F54" w:rsidTr="00632C6C">
        <w:trPr>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Италија</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14,7%</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13,6%</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13,2%</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13,7%</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12,7%</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Kина</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0,4%</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0,7%</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0,7%</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1,7%</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1,1%</w:t>
            </w:r>
          </w:p>
        </w:tc>
      </w:tr>
      <w:tr w:rsidR="00632C6C" w:rsidRPr="00AF6F54" w:rsidTr="00632C6C">
        <w:trPr>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Мађарска</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3,8%</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3,7%</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3,6%</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3,6%</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3,8%</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Њемачка</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15,4%</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15,1%</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16,0%</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15,6%</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14,9%</w:t>
            </w:r>
          </w:p>
        </w:tc>
      </w:tr>
      <w:tr w:rsidR="00632C6C" w:rsidRPr="00AF6F54" w:rsidTr="00632C6C">
        <w:trPr>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Пољска</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1,3%</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1,3%</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1,8%</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2,0%</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2,3%</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Румунија</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1,1%</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1,0%</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1,3%</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1,4%</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1,2%</w:t>
            </w:r>
          </w:p>
        </w:tc>
      </w:tr>
      <w:tr w:rsidR="00632C6C" w:rsidRPr="00AF6F54" w:rsidTr="00632C6C">
        <w:trPr>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Русија</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0,1%</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0,2%</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0,7%</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0,8%</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0,9%</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Сједињене Америчке Државе</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0,5%</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0,5%</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0,6%</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0,9%</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0,9%</w:t>
            </w:r>
          </w:p>
        </w:tc>
      </w:tr>
      <w:tr w:rsidR="00632C6C" w:rsidRPr="00AF6F54" w:rsidTr="00632C6C">
        <w:trPr>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Сјеверна Македонија</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0,7%</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0,9%</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1,0%</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0,8%</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0,7%</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Словенија</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13,1%</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11,7%</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11,2%</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10,0%</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10,7%</w:t>
            </w:r>
          </w:p>
        </w:tc>
      </w:tr>
      <w:tr w:rsidR="00632C6C" w:rsidRPr="00AF6F54" w:rsidTr="00632C6C">
        <w:trPr>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Србија</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0,0%</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7,6%</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10,0%</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9,2%</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9,3%</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Србија и Црна Гора</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10,1%</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w:t>
            </w:r>
          </w:p>
        </w:tc>
      </w:tr>
      <w:tr w:rsidR="00632C6C" w:rsidRPr="00AF6F54" w:rsidTr="00632C6C">
        <w:trPr>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Швајцарска</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0,7%</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0,9%</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1,1%</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1,4%</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1,5%</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Турска</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2,0%</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2,9%</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3,0%</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3,5%</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3,8%</w:t>
            </w:r>
          </w:p>
        </w:tc>
      </w:tr>
      <w:tr w:rsidR="00632C6C" w:rsidRPr="00AF6F54" w:rsidTr="00632C6C">
        <w:trPr>
          <w:trHeight w:val="68"/>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Велика Британија</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0,7%</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0,6%</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0,6%</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0,6%</w:t>
            </w:r>
          </w:p>
        </w:tc>
        <w:tc>
          <w:tcPr>
            <w:tcW w:w="0" w:type="auto"/>
            <w:noWrap/>
            <w:hideMark/>
          </w:tcPr>
          <w:p w:rsidR="00632C6C" w:rsidRPr="00AF6F54" w:rsidRDefault="00632C6C" w:rsidP="00632C6C">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eastAsia="bs-Latn-BA"/>
              </w:rPr>
            </w:pPr>
            <w:r w:rsidRPr="00AF6F54">
              <w:rPr>
                <w:rFonts w:ascii="Times" w:eastAsia="Times New Roman" w:hAnsi="Times" w:cs="Times"/>
                <w:color w:val="000000"/>
                <w:sz w:val="18"/>
                <w:szCs w:val="18"/>
                <w:lang w:eastAsia="bs-Latn-BA"/>
              </w:rPr>
              <w:t>0,5%</w:t>
            </w:r>
          </w:p>
        </w:tc>
      </w:tr>
      <w:tr w:rsidR="00632C6C" w:rsidRPr="00AF6F54" w:rsidTr="00632C6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noWrap/>
            <w:hideMark/>
          </w:tcPr>
          <w:p w:rsidR="00632C6C" w:rsidRPr="00AF6F54" w:rsidRDefault="00632C6C" w:rsidP="00632C6C">
            <w:pPr>
              <w:rPr>
                <w:rFonts w:ascii="Times" w:eastAsia="Times New Roman" w:hAnsi="Times" w:cs="Times"/>
                <w:b/>
                <w:bCs/>
                <w:color w:val="000000"/>
                <w:sz w:val="18"/>
                <w:szCs w:val="18"/>
                <w:lang w:eastAsia="bs-Latn-BA"/>
              </w:rPr>
            </w:pPr>
            <w:r w:rsidRPr="00AF6F54">
              <w:rPr>
                <w:rFonts w:ascii="Times" w:eastAsia="Times New Roman" w:hAnsi="Times" w:cs="Times"/>
                <w:b/>
                <w:bCs/>
                <w:color w:val="000000"/>
                <w:sz w:val="18"/>
                <w:szCs w:val="18"/>
                <w:lang w:eastAsia="bs-Latn-BA"/>
              </w:rPr>
              <w:t>Укупни тржишни удио</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eastAsia="bs-Latn-BA"/>
              </w:rPr>
            </w:pPr>
            <w:r w:rsidRPr="00AF6F54">
              <w:rPr>
                <w:rFonts w:ascii="Times" w:eastAsia="Times New Roman" w:hAnsi="Times" w:cs="Times"/>
                <w:b/>
                <w:bCs/>
                <w:color w:val="000000"/>
                <w:sz w:val="18"/>
                <w:szCs w:val="18"/>
                <w:lang w:eastAsia="bs-Latn-BA"/>
              </w:rPr>
              <w:t>93,5%</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eastAsia="bs-Latn-BA"/>
              </w:rPr>
            </w:pPr>
            <w:r w:rsidRPr="00AF6F54">
              <w:rPr>
                <w:rFonts w:ascii="Times" w:eastAsia="Times New Roman" w:hAnsi="Times" w:cs="Times"/>
                <w:b/>
                <w:bCs/>
                <w:color w:val="000000"/>
                <w:sz w:val="18"/>
                <w:szCs w:val="18"/>
                <w:lang w:eastAsia="bs-Latn-BA"/>
              </w:rPr>
              <w:t>89,2%</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eastAsia="bs-Latn-BA"/>
              </w:rPr>
            </w:pPr>
            <w:r w:rsidRPr="00AF6F54">
              <w:rPr>
                <w:rFonts w:ascii="Times" w:eastAsia="Times New Roman" w:hAnsi="Times" w:cs="Times"/>
                <w:b/>
                <w:bCs/>
                <w:color w:val="000000"/>
                <w:sz w:val="18"/>
                <w:szCs w:val="18"/>
                <w:lang w:eastAsia="bs-Latn-BA"/>
              </w:rPr>
              <w:t>91,7%</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eastAsia="bs-Latn-BA"/>
              </w:rPr>
            </w:pPr>
            <w:r w:rsidRPr="00AF6F54">
              <w:rPr>
                <w:rFonts w:ascii="Times" w:eastAsia="Times New Roman" w:hAnsi="Times" w:cs="Times"/>
                <w:b/>
                <w:bCs/>
                <w:color w:val="000000"/>
                <w:sz w:val="18"/>
                <w:szCs w:val="18"/>
                <w:lang w:eastAsia="bs-Latn-BA"/>
              </w:rPr>
              <w:t>91,2%</w:t>
            </w:r>
          </w:p>
        </w:tc>
        <w:tc>
          <w:tcPr>
            <w:tcW w:w="0" w:type="auto"/>
            <w:noWrap/>
            <w:hideMark/>
          </w:tcPr>
          <w:p w:rsidR="00632C6C" w:rsidRPr="00AF6F54" w:rsidRDefault="00632C6C" w:rsidP="00632C6C">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eastAsia="bs-Latn-BA"/>
              </w:rPr>
            </w:pPr>
            <w:r w:rsidRPr="00AF6F54">
              <w:rPr>
                <w:rFonts w:ascii="Times" w:eastAsia="Times New Roman" w:hAnsi="Times" w:cs="Times"/>
                <w:b/>
                <w:bCs/>
                <w:color w:val="000000"/>
                <w:sz w:val="18"/>
                <w:szCs w:val="18"/>
                <w:lang w:eastAsia="bs-Latn-BA"/>
              </w:rPr>
              <w:t>91,3%</w:t>
            </w:r>
          </w:p>
        </w:tc>
      </w:tr>
    </w:tbl>
    <w:p w:rsidR="00BE3E50" w:rsidRPr="00AF6F54" w:rsidRDefault="00E46109" w:rsidP="00BE3E50">
      <w:pPr>
        <w:pStyle w:val="Heading3"/>
        <w:ind w:left="708" w:firstLine="708"/>
        <w:rPr>
          <w:lang w:val="bs-Latn-BA"/>
        </w:rPr>
      </w:pPr>
      <w:r w:rsidRPr="00AF6F54">
        <w:rPr>
          <w:lang w:val="bs-Latn-BA"/>
        </w:rPr>
        <w:lastRenderedPageBreak/>
        <w:t>Ажурирање пондера</w:t>
      </w:r>
    </w:p>
    <w:p w:rsidR="00E46109" w:rsidRPr="00AF6F54" w:rsidRDefault="00E46109" w:rsidP="00E46109">
      <w:pPr>
        <w:jc w:val="both"/>
        <w:rPr>
          <w:rFonts w:ascii="Times New Roman" w:hAnsi="Times New Roman" w:cs="Times New Roman"/>
          <w:sz w:val="24"/>
          <w:szCs w:val="24"/>
        </w:rPr>
      </w:pPr>
      <w:r w:rsidRPr="00AF6F54">
        <w:rPr>
          <w:rFonts w:ascii="Times New Roman" w:hAnsi="Times New Roman" w:cs="Times New Roman"/>
          <w:sz w:val="24"/>
          <w:szCs w:val="24"/>
        </w:rPr>
        <w:t>Трговински пондери су временски промјењиви и израчунавају се кроз трогодишње периоде, који се не преклапају</w:t>
      </w:r>
      <w:r w:rsidR="00E964F9" w:rsidRPr="00AF6F54">
        <w:rPr>
          <w:rFonts w:ascii="Times New Roman" w:hAnsi="Times New Roman" w:cs="Times New Roman"/>
          <w:sz w:val="24"/>
          <w:szCs w:val="24"/>
        </w:rPr>
        <w:t>. Т</w:t>
      </w:r>
      <w:r w:rsidRPr="00AF6F54">
        <w:rPr>
          <w:rFonts w:ascii="Times New Roman" w:hAnsi="Times New Roman" w:cs="Times New Roman"/>
          <w:sz w:val="24"/>
          <w:szCs w:val="24"/>
        </w:rPr>
        <w:t xml:space="preserve">акође пондери су фиксни у смислу да се исти пондери </w:t>
      </w:r>
      <w:r w:rsidR="00E964F9" w:rsidRPr="00AF6F54">
        <w:rPr>
          <w:rFonts w:ascii="Times New Roman" w:hAnsi="Times New Roman" w:cs="Times New Roman"/>
          <w:sz w:val="24"/>
          <w:szCs w:val="24"/>
        </w:rPr>
        <w:t xml:space="preserve">користе </w:t>
      </w:r>
      <w:r w:rsidRPr="00AF6F54">
        <w:rPr>
          <w:rFonts w:ascii="Times New Roman" w:hAnsi="Times New Roman" w:cs="Times New Roman"/>
          <w:sz w:val="24"/>
          <w:szCs w:val="24"/>
        </w:rPr>
        <w:t xml:space="preserve">за цијели период све док подаци (трогодишњи </w:t>
      </w:r>
      <w:r w:rsidR="00232214" w:rsidRPr="00AF6F54">
        <w:rPr>
          <w:rFonts w:ascii="Times New Roman" w:hAnsi="Times New Roman" w:cs="Times New Roman"/>
          <w:sz w:val="24"/>
          <w:szCs w:val="24"/>
          <w:lang w:val="sr-Cyrl-BA"/>
        </w:rPr>
        <w:t>спољно</w:t>
      </w:r>
      <w:r w:rsidRPr="00AF6F54">
        <w:rPr>
          <w:rFonts w:ascii="Times New Roman" w:hAnsi="Times New Roman" w:cs="Times New Roman"/>
          <w:sz w:val="24"/>
          <w:szCs w:val="24"/>
        </w:rPr>
        <w:t>трговински подаци) за наредни период не буду доступни. Предност кориш</w:t>
      </w:r>
      <w:r w:rsidR="00232214" w:rsidRPr="00AF6F54">
        <w:rPr>
          <w:rFonts w:ascii="Times New Roman" w:hAnsi="Times New Roman" w:cs="Times New Roman"/>
          <w:sz w:val="24"/>
          <w:szCs w:val="24"/>
          <w:lang w:val="sr-Cyrl-BA"/>
        </w:rPr>
        <w:t>ћ</w:t>
      </w:r>
      <w:r w:rsidRPr="00AF6F54">
        <w:rPr>
          <w:rFonts w:ascii="Times New Roman" w:hAnsi="Times New Roman" w:cs="Times New Roman"/>
          <w:sz w:val="24"/>
          <w:szCs w:val="24"/>
        </w:rPr>
        <w:t xml:space="preserve">ења трогодишњег просјека, за разлику од трговинских пондера који се ажурирају чешће, јесте избјегавање утицаја великих флуктуација у подацима због потенцијалних краткорочних промјена у </w:t>
      </w:r>
      <w:r w:rsidR="00232214" w:rsidRPr="00AF6F54">
        <w:rPr>
          <w:rFonts w:ascii="Times New Roman" w:hAnsi="Times New Roman" w:cs="Times New Roman"/>
          <w:sz w:val="24"/>
          <w:szCs w:val="24"/>
          <w:lang w:val="sr-Cyrl-BA"/>
        </w:rPr>
        <w:t>спољно</w:t>
      </w:r>
      <w:r w:rsidRPr="00AF6F54">
        <w:rPr>
          <w:rFonts w:ascii="Times New Roman" w:hAnsi="Times New Roman" w:cs="Times New Roman"/>
          <w:sz w:val="24"/>
          <w:szCs w:val="24"/>
        </w:rPr>
        <w:t>трговинским токовима. Чешће ажурирање подразумијева и додатне ревизије података, што би могло додатно услож</w:t>
      </w:r>
      <w:r w:rsidR="00C73C6E" w:rsidRPr="00AF6F54">
        <w:rPr>
          <w:rFonts w:ascii="Times New Roman" w:hAnsi="Times New Roman" w:cs="Times New Roman"/>
          <w:sz w:val="24"/>
          <w:szCs w:val="24"/>
          <w:lang w:val="sr-Cyrl-BA"/>
        </w:rPr>
        <w:t>н</w:t>
      </w:r>
      <w:r w:rsidRPr="00AF6F54">
        <w:rPr>
          <w:rFonts w:ascii="Times New Roman" w:hAnsi="Times New Roman" w:cs="Times New Roman"/>
          <w:sz w:val="24"/>
          <w:szCs w:val="24"/>
        </w:rPr>
        <w:t>ити анализу конкурентности.</w:t>
      </w:r>
    </w:p>
    <w:p w:rsidR="00E46109" w:rsidRPr="00AF6F54" w:rsidRDefault="00E46109" w:rsidP="00E46109">
      <w:pPr>
        <w:jc w:val="both"/>
        <w:rPr>
          <w:rFonts w:ascii="Times New Roman" w:hAnsi="Times New Roman" w:cs="Times New Roman"/>
          <w:sz w:val="24"/>
          <w:szCs w:val="24"/>
        </w:rPr>
      </w:pPr>
      <w:r w:rsidRPr="00AF6F54">
        <w:rPr>
          <w:rFonts w:ascii="Times New Roman" w:hAnsi="Times New Roman" w:cs="Times New Roman"/>
          <w:sz w:val="24"/>
          <w:szCs w:val="24"/>
        </w:rPr>
        <w:t>На основу трговинских података</w:t>
      </w:r>
      <w:r w:rsidR="00232214" w:rsidRPr="00AF6F54">
        <w:rPr>
          <w:rFonts w:ascii="Times New Roman" w:hAnsi="Times New Roman" w:cs="Times New Roman"/>
          <w:sz w:val="24"/>
          <w:szCs w:val="24"/>
          <w:lang w:val="sr-Cyrl-BA"/>
        </w:rPr>
        <w:t>,</w:t>
      </w:r>
      <w:r w:rsidRPr="00AF6F54">
        <w:rPr>
          <w:rFonts w:ascii="Times New Roman" w:hAnsi="Times New Roman" w:cs="Times New Roman"/>
          <w:sz w:val="24"/>
          <w:szCs w:val="24"/>
        </w:rPr>
        <w:t xml:space="preserve"> тренутно су </w:t>
      </w:r>
      <w:r w:rsidR="00E964F9" w:rsidRPr="00AF6F54">
        <w:rPr>
          <w:rFonts w:ascii="Times New Roman" w:hAnsi="Times New Roman" w:cs="Times New Roman"/>
          <w:sz w:val="24"/>
          <w:szCs w:val="24"/>
        </w:rPr>
        <w:t xml:space="preserve">доступни пондери за четири трогодишња периода: </w:t>
      </w:r>
      <w:r w:rsidR="00232214" w:rsidRPr="00AF6F54">
        <w:rPr>
          <w:rFonts w:ascii="Times New Roman" w:hAnsi="Times New Roman" w:cs="Times New Roman"/>
          <w:sz w:val="24"/>
          <w:szCs w:val="24"/>
        </w:rPr>
        <w:t>2004-2006, 2007-2009, 2010-</w:t>
      </w:r>
      <w:r w:rsidRPr="00AF6F54">
        <w:rPr>
          <w:rFonts w:ascii="Times New Roman" w:hAnsi="Times New Roman" w:cs="Times New Roman"/>
          <w:sz w:val="24"/>
          <w:szCs w:val="24"/>
        </w:rPr>
        <w:t>2012</w:t>
      </w:r>
      <w:r w:rsidR="00B8463E" w:rsidRPr="00AF6F54">
        <w:rPr>
          <w:rFonts w:ascii="Times New Roman" w:hAnsi="Times New Roman" w:cs="Times New Roman"/>
          <w:sz w:val="24"/>
          <w:szCs w:val="24"/>
        </w:rPr>
        <w:t>, 2013-2015</w:t>
      </w:r>
      <w:r w:rsidRPr="00AF6F54">
        <w:rPr>
          <w:rFonts w:ascii="Times New Roman" w:hAnsi="Times New Roman" w:cs="Times New Roman"/>
          <w:sz w:val="24"/>
          <w:szCs w:val="24"/>
        </w:rPr>
        <w:t xml:space="preserve"> и 20</w:t>
      </w:r>
      <w:r w:rsidR="00232214" w:rsidRPr="00AF6F54">
        <w:rPr>
          <w:rFonts w:ascii="Times New Roman" w:hAnsi="Times New Roman" w:cs="Times New Roman"/>
          <w:sz w:val="24"/>
          <w:szCs w:val="24"/>
        </w:rPr>
        <w:t>1</w:t>
      </w:r>
      <w:r w:rsidR="00B8463E" w:rsidRPr="00AF6F54">
        <w:rPr>
          <w:rFonts w:ascii="Times New Roman" w:hAnsi="Times New Roman" w:cs="Times New Roman"/>
          <w:sz w:val="24"/>
          <w:szCs w:val="24"/>
        </w:rPr>
        <w:t>6</w:t>
      </w:r>
      <w:r w:rsidR="00232214" w:rsidRPr="00AF6F54">
        <w:rPr>
          <w:rFonts w:ascii="Times New Roman" w:hAnsi="Times New Roman" w:cs="Times New Roman"/>
          <w:sz w:val="24"/>
          <w:szCs w:val="24"/>
        </w:rPr>
        <w:t>-201</w:t>
      </w:r>
      <w:r w:rsidR="00B8463E" w:rsidRPr="00AF6F54">
        <w:rPr>
          <w:rFonts w:ascii="Times New Roman" w:hAnsi="Times New Roman" w:cs="Times New Roman"/>
          <w:sz w:val="24"/>
          <w:szCs w:val="24"/>
        </w:rPr>
        <w:t>8</w:t>
      </w:r>
      <w:r w:rsidR="00232214" w:rsidRPr="00AF6F54">
        <w:rPr>
          <w:rFonts w:ascii="Times New Roman" w:hAnsi="Times New Roman" w:cs="Times New Roman"/>
          <w:sz w:val="24"/>
          <w:szCs w:val="24"/>
        </w:rPr>
        <w:t>. Периоди су у складу с</w:t>
      </w:r>
      <w:r w:rsidRPr="00AF6F54">
        <w:rPr>
          <w:rFonts w:ascii="Times New Roman" w:hAnsi="Times New Roman" w:cs="Times New Roman"/>
          <w:sz w:val="24"/>
          <w:szCs w:val="24"/>
        </w:rPr>
        <w:t xml:space="preserve"> периодима које користи и Е</w:t>
      </w:r>
      <w:r w:rsidR="00232214" w:rsidRPr="00AF6F54">
        <w:rPr>
          <w:rFonts w:ascii="Times New Roman" w:hAnsi="Times New Roman" w:cs="Times New Roman"/>
          <w:sz w:val="24"/>
          <w:szCs w:val="24"/>
          <w:lang w:val="sr-Cyrl-BA"/>
        </w:rPr>
        <w:t>в</w:t>
      </w:r>
      <w:r w:rsidRPr="00AF6F54">
        <w:rPr>
          <w:rFonts w:ascii="Times New Roman" w:hAnsi="Times New Roman" w:cs="Times New Roman"/>
          <w:sz w:val="24"/>
          <w:szCs w:val="24"/>
        </w:rPr>
        <w:t xml:space="preserve">ропска </w:t>
      </w:r>
      <w:r w:rsidR="00232214" w:rsidRPr="00AF6F54">
        <w:rPr>
          <w:rFonts w:ascii="Times New Roman" w:hAnsi="Times New Roman" w:cs="Times New Roman"/>
          <w:sz w:val="24"/>
          <w:szCs w:val="24"/>
          <w:lang w:val="sr-Cyrl-BA"/>
        </w:rPr>
        <w:t>ц</w:t>
      </w:r>
      <w:r w:rsidRPr="00AF6F54">
        <w:rPr>
          <w:rFonts w:ascii="Times New Roman" w:hAnsi="Times New Roman" w:cs="Times New Roman"/>
          <w:sz w:val="24"/>
          <w:szCs w:val="24"/>
        </w:rPr>
        <w:t xml:space="preserve">ентрална </w:t>
      </w:r>
      <w:r w:rsidR="00232214" w:rsidRPr="00AF6F54">
        <w:rPr>
          <w:rFonts w:ascii="Times New Roman" w:hAnsi="Times New Roman" w:cs="Times New Roman"/>
          <w:sz w:val="24"/>
          <w:szCs w:val="24"/>
          <w:lang w:val="sr-Cyrl-BA"/>
        </w:rPr>
        <w:t>б</w:t>
      </w:r>
      <w:r w:rsidRPr="00AF6F54">
        <w:rPr>
          <w:rFonts w:ascii="Times New Roman" w:hAnsi="Times New Roman" w:cs="Times New Roman"/>
          <w:sz w:val="24"/>
          <w:szCs w:val="24"/>
        </w:rPr>
        <w:t>анка (у даљњем тексту</w:t>
      </w:r>
      <w:r w:rsidR="00B8463E" w:rsidRPr="00AF6F54">
        <w:rPr>
          <w:rFonts w:ascii="Times New Roman" w:hAnsi="Times New Roman" w:cs="Times New Roman"/>
          <w:sz w:val="24"/>
          <w:szCs w:val="24"/>
        </w:rPr>
        <w:t xml:space="preserve"> ECB</w:t>
      </w:r>
      <w:r w:rsidRPr="00AF6F54">
        <w:rPr>
          <w:rFonts w:ascii="Times New Roman" w:hAnsi="Times New Roman" w:cs="Times New Roman"/>
          <w:sz w:val="24"/>
          <w:szCs w:val="24"/>
        </w:rPr>
        <w:t>)</w:t>
      </w:r>
      <w:r w:rsidR="00E964F9" w:rsidRPr="00AF6F54">
        <w:rPr>
          <w:rFonts w:ascii="Times New Roman" w:hAnsi="Times New Roman" w:cs="Times New Roman"/>
          <w:sz w:val="24"/>
          <w:szCs w:val="24"/>
        </w:rPr>
        <w:t>,</w:t>
      </w:r>
      <w:r w:rsidRPr="00AF6F54">
        <w:rPr>
          <w:rFonts w:ascii="Times New Roman" w:hAnsi="Times New Roman" w:cs="Times New Roman"/>
          <w:sz w:val="24"/>
          <w:szCs w:val="24"/>
        </w:rPr>
        <w:t xml:space="preserve"> као и неке друге институције, што омогућава директну успоредивост и усклађивање.</w:t>
      </w:r>
    </w:p>
    <w:p w:rsidR="00D06AEE" w:rsidRPr="00AF6F54" w:rsidRDefault="00D06AEE" w:rsidP="00E46109">
      <w:pPr>
        <w:jc w:val="both"/>
        <w:rPr>
          <w:rFonts w:ascii="Times New Roman" w:hAnsi="Times New Roman" w:cs="Times New Roman"/>
          <w:sz w:val="24"/>
          <w:szCs w:val="24"/>
        </w:rPr>
      </w:pPr>
    </w:p>
    <w:p w:rsidR="002F4F7E" w:rsidRPr="00AF6F54" w:rsidRDefault="00716870" w:rsidP="008230C4">
      <w:pPr>
        <w:pStyle w:val="Heading3"/>
        <w:ind w:left="708" w:firstLine="708"/>
        <w:rPr>
          <w:lang w:val="bs-Latn-BA"/>
        </w:rPr>
      </w:pPr>
      <w:r w:rsidRPr="00AF6F54">
        <w:rPr>
          <w:lang w:val="bs-Latn-BA"/>
        </w:rPr>
        <w:t>Метод пондерисања</w:t>
      </w:r>
    </w:p>
    <w:p w:rsidR="00716870" w:rsidRPr="00AF6F54" w:rsidRDefault="00716870" w:rsidP="00716870">
      <w:pPr>
        <w:jc w:val="both"/>
        <w:rPr>
          <w:rFonts w:ascii="Times New Roman" w:hAnsi="Times New Roman" w:cs="Times New Roman"/>
          <w:sz w:val="24"/>
          <w:szCs w:val="24"/>
        </w:rPr>
      </w:pPr>
      <w:r w:rsidRPr="00AF6F54">
        <w:rPr>
          <w:rFonts w:ascii="Times New Roman" w:hAnsi="Times New Roman" w:cs="Times New Roman"/>
          <w:sz w:val="24"/>
          <w:szCs w:val="24"/>
        </w:rPr>
        <w:t xml:space="preserve">У складу с приступом који користи BIS и </w:t>
      </w:r>
      <w:r w:rsidR="00B8463E" w:rsidRPr="00AF6F54">
        <w:rPr>
          <w:rFonts w:ascii="Times New Roman" w:hAnsi="Times New Roman" w:cs="Times New Roman"/>
          <w:sz w:val="24"/>
          <w:szCs w:val="24"/>
        </w:rPr>
        <w:t>ECB</w:t>
      </w:r>
      <w:r w:rsidR="00CE3561" w:rsidRPr="00AF6F54">
        <w:rPr>
          <w:rFonts w:ascii="Times New Roman" w:hAnsi="Times New Roman" w:cs="Times New Roman"/>
          <w:sz w:val="24"/>
          <w:szCs w:val="24"/>
        </w:rPr>
        <w:t>,</w:t>
      </w:r>
      <w:r w:rsidRPr="00AF6F54">
        <w:rPr>
          <w:rFonts w:ascii="Times New Roman" w:hAnsi="Times New Roman" w:cs="Times New Roman"/>
          <w:sz w:val="24"/>
          <w:szCs w:val="24"/>
        </w:rPr>
        <w:t xml:space="preserve"> ЦББиХ треба претпоставити да </w:t>
      </w:r>
      <w:r w:rsidR="00CE3561" w:rsidRPr="00AF6F54">
        <w:rPr>
          <w:rFonts w:ascii="Times New Roman" w:hAnsi="Times New Roman" w:cs="Times New Roman"/>
          <w:sz w:val="24"/>
          <w:szCs w:val="24"/>
        </w:rPr>
        <w:t>се извозници из БиХ суочавају с</w:t>
      </w:r>
      <w:r w:rsidRPr="00AF6F54">
        <w:rPr>
          <w:rFonts w:ascii="Times New Roman" w:hAnsi="Times New Roman" w:cs="Times New Roman"/>
          <w:sz w:val="24"/>
          <w:szCs w:val="24"/>
        </w:rPr>
        <w:t xml:space="preserve"> укупним бројем извозних тржишта "H" (при чему H = N + R; "N" означава трговинске партнере, док "R" означава земље наведене као "остатак свијета"). Претпоставља се да су земље које улазе у референту групу за израчун ефективног курса једини понуђачи на H страним тржиштима, те да извоз прерађивачких производа као и домаћа производња прерађивачке индустрије земаља које нису укључене у референтну групу (тј. остатак свијета) не конкуришу производима земаља које су укључене у референтну групу.</w:t>
      </w:r>
    </w:p>
    <w:p w:rsidR="00716870" w:rsidRPr="00AF6F54" w:rsidRDefault="00716870" w:rsidP="00716870">
      <w:pPr>
        <w:jc w:val="both"/>
        <w:rPr>
          <w:rFonts w:ascii="Times New Roman" w:hAnsi="Times New Roman" w:cs="Times New Roman"/>
          <w:sz w:val="24"/>
          <w:szCs w:val="24"/>
        </w:rPr>
      </w:pPr>
      <w:r w:rsidRPr="00AF6F54">
        <w:rPr>
          <w:rFonts w:ascii="Times New Roman" w:hAnsi="Times New Roman" w:cs="Times New Roman"/>
          <w:sz w:val="24"/>
          <w:szCs w:val="24"/>
        </w:rPr>
        <w:t>У</w:t>
      </w:r>
      <w:r w:rsidR="000D76E3" w:rsidRPr="00AF6F54">
        <w:rPr>
          <w:rFonts w:ascii="Times New Roman" w:hAnsi="Times New Roman" w:cs="Times New Roman"/>
          <w:sz w:val="24"/>
          <w:szCs w:val="24"/>
          <w:lang w:val="sr-Cyrl-BA"/>
        </w:rPr>
        <w:t>чешће</w:t>
      </w:r>
      <w:r w:rsidRPr="00AF6F54">
        <w:rPr>
          <w:rFonts w:ascii="Times New Roman" w:hAnsi="Times New Roman" w:cs="Times New Roman"/>
          <w:sz w:val="24"/>
          <w:szCs w:val="24"/>
        </w:rPr>
        <w:t xml:space="preserve"> сваког појединачног тржишта у укупном извозу БиХ се рачуна као:</w:t>
      </w:r>
    </w:p>
    <w:p w:rsidR="00D74E7F" w:rsidRPr="00AF6F54" w:rsidRDefault="00AF6F54" w:rsidP="008230C4">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H</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e>
              </m:nary>
            </m:den>
          </m:f>
          <m:r>
            <w:rPr>
              <w:rFonts w:ascii="Cambria Math" w:hAnsi="Cambria Math" w:cs="Times New Roman"/>
              <w:sz w:val="24"/>
              <w:szCs w:val="24"/>
            </w:rPr>
            <m:t>,       j=1,2,…,H</m:t>
          </m:r>
        </m:oMath>
      </m:oMathPara>
    </w:p>
    <w:p w:rsidR="00E13B63" w:rsidRPr="00AF6F54" w:rsidRDefault="00716870" w:rsidP="00D74E7F">
      <w:pPr>
        <w:spacing w:after="200" w:line="276" w:lineRule="auto"/>
        <w:jc w:val="both"/>
        <w:rPr>
          <w:rFonts w:ascii="Times New Roman" w:hAnsi="Times New Roman" w:cs="Times New Roman"/>
          <w:sz w:val="24"/>
          <w:szCs w:val="24"/>
        </w:rPr>
      </w:pPr>
      <w:r w:rsidRPr="00AF6F54">
        <w:rPr>
          <w:rFonts w:ascii="Times New Roman" w:hAnsi="Times New Roman" w:cs="Times New Roman"/>
          <w:sz w:val="24"/>
          <w:szCs w:val="24"/>
        </w:rPr>
        <w:t>Гдје</w:t>
      </w:r>
      <w:r w:rsidR="00D74E7F" w:rsidRPr="00AF6F54">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oMath>
      <w:r w:rsidR="00D74E7F" w:rsidRPr="00AF6F54">
        <w:rPr>
          <w:rFonts w:ascii="Times New Roman" w:hAnsi="Times New Roman" w:cs="Times New Roman"/>
          <w:sz w:val="24"/>
          <w:szCs w:val="24"/>
        </w:rPr>
        <w:t xml:space="preserve"> </w:t>
      </w:r>
      <w:r w:rsidRPr="00AF6F54">
        <w:rPr>
          <w:rFonts w:ascii="Times New Roman" w:hAnsi="Times New Roman" w:cs="Times New Roman"/>
          <w:sz w:val="24"/>
          <w:szCs w:val="24"/>
        </w:rPr>
        <w:t xml:space="preserve">представља извоз БиХ у референтном периоду (просјек укупног извоза БиХ у трогодишњем периоду) усмјерен према тржишту </w:t>
      </w:r>
      <w:r w:rsidR="00E13B63" w:rsidRPr="00AF6F54">
        <w:rPr>
          <w:rFonts w:ascii="Times New Roman" w:hAnsi="Times New Roman" w:cs="Times New Roman"/>
          <w:i/>
          <w:sz w:val="24"/>
          <w:szCs w:val="24"/>
        </w:rPr>
        <w:t>j</w:t>
      </w:r>
      <w:r w:rsidR="00E13B63" w:rsidRPr="00AF6F54">
        <w:rPr>
          <w:rFonts w:ascii="Times New Roman" w:hAnsi="Times New Roman" w:cs="Times New Roman"/>
          <w:sz w:val="24"/>
          <w:szCs w:val="24"/>
        </w:rPr>
        <w:t xml:space="preserve"> </w:t>
      </w:r>
      <w:r w:rsidRPr="00AF6F54">
        <w:rPr>
          <w:rFonts w:ascii="Times New Roman" w:hAnsi="Times New Roman" w:cs="Times New Roman"/>
          <w:sz w:val="24"/>
          <w:szCs w:val="24"/>
        </w:rPr>
        <w:t>(то су тржишта свих земаља, а не с</w:t>
      </w:r>
      <w:r w:rsidR="00CE3561" w:rsidRPr="00AF6F54">
        <w:rPr>
          <w:rFonts w:ascii="Times New Roman" w:hAnsi="Times New Roman" w:cs="Times New Roman"/>
          <w:sz w:val="24"/>
          <w:szCs w:val="24"/>
        </w:rPr>
        <w:t>амо оних према којима се мјери спољна</w:t>
      </w:r>
      <w:r w:rsidRPr="00AF6F54">
        <w:rPr>
          <w:rFonts w:ascii="Times New Roman" w:hAnsi="Times New Roman" w:cs="Times New Roman"/>
          <w:sz w:val="24"/>
          <w:szCs w:val="24"/>
        </w:rPr>
        <w:t xml:space="preserve"> вриједност </w:t>
      </w:r>
      <w:r w:rsidR="00E13B63" w:rsidRPr="00AF6F54">
        <w:rPr>
          <w:rFonts w:ascii="Times New Roman" w:hAnsi="Times New Roman" w:cs="Times New Roman"/>
          <w:sz w:val="24"/>
          <w:szCs w:val="24"/>
        </w:rPr>
        <w:t>KM).</w:t>
      </w:r>
    </w:p>
    <w:p w:rsidR="00373E38" w:rsidRPr="00AF6F54" w:rsidRDefault="00716870" w:rsidP="00E13B63">
      <w:pPr>
        <w:spacing w:after="200" w:line="276" w:lineRule="auto"/>
        <w:jc w:val="both"/>
        <w:rPr>
          <w:rFonts w:ascii="Times New Roman" w:hAnsi="Times New Roman" w:cs="Times New Roman"/>
          <w:sz w:val="24"/>
          <w:szCs w:val="24"/>
        </w:rPr>
      </w:pPr>
      <w:r w:rsidRPr="00AF6F54">
        <w:rPr>
          <w:rFonts w:ascii="Times New Roman" w:hAnsi="Times New Roman" w:cs="Times New Roman"/>
          <w:sz w:val="24"/>
          <w:szCs w:val="24"/>
        </w:rPr>
        <w:t>Прилаго</w:t>
      </w:r>
      <w:r w:rsidR="00CE3561" w:rsidRPr="00AF6F54">
        <w:rPr>
          <w:rFonts w:ascii="Times New Roman" w:hAnsi="Times New Roman" w:cs="Times New Roman"/>
          <w:sz w:val="24"/>
          <w:szCs w:val="24"/>
          <w:lang w:val="sr-Cyrl-BA"/>
        </w:rPr>
        <w:t>ђавањем</w:t>
      </w:r>
      <w:r w:rsidRPr="00AF6F54">
        <w:rPr>
          <w:rFonts w:ascii="Times New Roman" w:hAnsi="Times New Roman" w:cs="Times New Roman"/>
          <w:sz w:val="24"/>
          <w:szCs w:val="24"/>
        </w:rPr>
        <w:t xml:space="preserve"> једноставних извозних у</w:t>
      </w:r>
      <w:r w:rsidR="00CE3561" w:rsidRPr="00AF6F54">
        <w:rPr>
          <w:rFonts w:ascii="Times New Roman" w:hAnsi="Times New Roman" w:cs="Times New Roman"/>
          <w:sz w:val="24"/>
          <w:szCs w:val="24"/>
          <w:lang w:val="sr-Cyrl-BA"/>
        </w:rPr>
        <w:t>чешћа</w:t>
      </w:r>
      <w:r w:rsidRPr="00AF6F54">
        <w:rPr>
          <w:rFonts w:ascii="Times New Roman" w:hAnsi="Times New Roman" w:cs="Times New Roman"/>
          <w:sz w:val="24"/>
          <w:szCs w:val="24"/>
        </w:rPr>
        <w:t xml:space="preserve"> за конкуренцију на трећим тржиштима добива се, за сваку поједину земљу која чини референтну групу, двоструко пондерисани извозни пондер (eng. double – export weights) за сваког трговинског партнера</w:t>
      </w:r>
      <w:r w:rsidR="00E13B63" w:rsidRPr="00AF6F54">
        <w:rPr>
          <w:rFonts w:ascii="Times New Roman" w:hAnsi="Times New Roman" w:cs="Times New Roman"/>
          <w:sz w:val="24"/>
          <w:szCs w:val="24"/>
        </w:rPr>
        <w:t xml:space="preserve"> </w:t>
      </w:r>
      <w:r w:rsidR="00D74E7F" w:rsidRPr="00AF6F54">
        <w:rPr>
          <w:rFonts w:ascii="Times New Roman" w:hAnsi="Times New Roman" w:cs="Times New Roman"/>
          <w:i/>
          <w:sz w:val="24"/>
          <w:szCs w:val="24"/>
        </w:rPr>
        <w:t>i</w:t>
      </w:r>
      <w:r w:rsidR="00D74E7F" w:rsidRPr="00AF6F54">
        <w:rPr>
          <w:rFonts w:ascii="Times New Roman" w:hAnsi="Times New Roman" w:cs="Times New Roman"/>
          <w:sz w:val="24"/>
          <w:szCs w:val="24"/>
        </w:rPr>
        <w:t>:</w:t>
      </w:r>
    </w:p>
    <w:p w:rsidR="00456CCC" w:rsidRPr="00AF6F54" w:rsidRDefault="00AF6F54" w:rsidP="00D74E7F">
      <w:pPr>
        <w:spacing w:after="200" w:line="276" w:lineRule="auto"/>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H</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e>
          </m:nary>
          <m:r>
            <w:rPr>
              <w:rFonts w:ascii="Cambria Math" w:hAnsi="Cambria Math" w:cs="Times New Roman"/>
              <w:sz w:val="24"/>
              <w:szCs w:val="24"/>
            </w:rPr>
            <m:t>,       i=1,2,…,N</m:t>
          </m:r>
        </m:oMath>
      </m:oMathPara>
    </w:p>
    <w:p w:rsidR="00456CCC" w:rsidRPr="00AF6F54" w:rsidRDefault="00716870" w:rsidP="00D74E7F">
      <w:pPr>
        <w:spacing w:after="200" w:line="276" w:lineRule="auto"/>
        <w:jc w:val="both"/>
        <w:rPr>
          <w:rFonts w:ascii="Times New Roman" w:eastAsiaTheme="minorEastAsia" w:hAnsi="Times New Roman" w:cs="Times New Roman"/>
          <w:sz w:val="24"/>
          <w:szCs w:val="24"/>
        </w:rPr>
      </w:pPr>
      <w:r w:rsidRPr="00AF6F54">
        <w:rPr>
          <w:rFonts w:ascii="Times New Roman" w:hAnsi="Times New Roman" w:cs="Times New Roman"/>
          <w:sz w:val="24"/>
          <w:szCs w:val="24"/>
        </w:rPr>
        <w:t xml:space="preserve">Гдје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oMath>
      <w:r w:rsidR="00456CCC"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представља у</w:t>
      </w:r>
      <w:r w:rsidR="00CE3561" w:rsidRPr="00AF6F54">
        <w:rPr>
          <w:rFonts w:ascii="Times New Roman" w:eastAsiaTheme="minorEastAsia" w:hAnsi="Times New Roman" w:cs="Times New Roman"/>
          <w:sz w:val="24"/>
          <w:szCs w:val="24"/>
          <w:lang w:val="sr-Cyrl-BA"/>
        </w:rPr>
        <w:t>чешће</w:t>
      </w:r>
      <w:r w:rsidRPr="00AF6F54">
        <w:rPr>
          <w:rFonts w:ascii="Times New Roman" w:eastAsiaTheme="minorEastAsia" w:hAnsi="Times New Roman" w:cs="Times New Roman"/>
          <w:sz w:val="24"/>
          <w:szCs w:val="24"/>
        </w:rPr>
        <w:t xml:space="preserve"> понуде земље</w:t>
      </w:r>
      <w:r w:rsidR="00456CCC" w:rsidRPr="00AF6F54">
        <w:rPr>
          <w:rFonts w:ascii="Times New Roman" w:eastAsiaTheme="minorEastAsia" w:hAnsi="Times New Roman" w:cs="Times New Roman"/>
          <w:sz w:val="24"/>
          <w:szCs w:val="24"/>
        </w:rPr>
        <w:t xml:space="preserve"> </w:t>
      </w:r>
      <w:r w:rsidR="00456CCC" w:rsidRPr="00AF6F54">
        <w:rPr>
          <w:rFonts w:ascii="Times New Roman" w:eastAsiaTheme="minorEastAsia" w:hAnsi="Times New Roman" w:cs="Times New Roman"/>
          <w:i/>
          <w:sz w:val="24"/>
          <w:szCs w:val="24"/>
        </w:rPr>
        <w:t>i</w:t>
      </w:r>
      <w:r w:rsidR="00456CCC" w:rsidRPr="00AF6F54">
        <w:rPr>
          <w:rFonts w:ascii="Times New Roman" w:eastAsiaTheme="minorEastAsia" w:hAnsi="Times New Roman" w:cs="Times New Roman"/>
          <w:sz w:val="24"/>
          <w:szCs w:val="24"/>
        </w:rPr>
        <w:t xml:space="preserve"> (</w:t>
      </w:r>
      <w:r w:rsidR="00CE3561" w:rsidRPr="00AF6F54">
        <w:rPr>
          <w:rFonts w:ascii="Times New Roman" w:eastAsiaTheme="minorEastAsia" w:hAnsi="Times New Roman" w:cs="Times New Roman"/>
          <w:sz w:val="24"/>
          <w:szCs w:val="24"/>
          <w:lang w:val="sr-Cyrl-BA"/>
        </w:rPr>
        <w:t>з</w:t>
      </w:r>
      <w:r w:rsidRPr="00AF6F54">
        <w:rPr>
          <w:rFonts w:ascii="Times New Roman" w:eastAsiaTheme="minorEastAsia" w:hAnsi="Times New Roman" w:cs="Times New Roman"/>
          <w:sz w:val="24"/>
          <w:szCs w:val="24"/>
        </w:rPr>
        <w:t xml:space="preserve">емље конкурента која улази у референту групу земаља према којима се мјери </w:t>
      </w:r>
      <w:r w:rsidR="00CE3561" w:rsidRPr="00AF6F54">
        <w:rPr>
          <w:rFonts w:ascii="Times New Roman" w:eastAsiaTheme="minorEastAsia" w:hAnsi="Times New Roman" w:cs="Times New Roman"/>
          <w:sz w:val="24"/>
          <w:szCs w:val="24"/>
          <w:lang w:val="sr-Cyrl-BA"/>
        </w:rPr>
        <w:t>спољна</w:t>
      </w:r>
      <w:r w:rsidRPr="00AF6F54">
        <w:rPr>
          <w:rFonts w:ascii="Times New Roman" w:eastAsiaTheme="minorEastAsia" w:hAnsi="Times New Roman" w:cs="Times New Roman"/>
          <w:sz w:val="24"/>
          <w:szCs w:val="24"/>
        </w:rPr>
        <w:t xml:space="preserve"> вриједност</w:t>
      </w:r>
      <w:r w:rsidR="00E13B63" w:rsidRPr="00AF6F54">
        <w:rPr>
          <w:rFonts w:ascii="Times New Roman" w:eastAsiaTheme="minorEastAsia" w:hAnsi="Times New Roman" w:cs="Times New Roman"/>
          <w:sz w:val="24"/>
          <w:szCs w:val="24"/>
        </w:rPr>
        <w:t xml:space="preserve"> KM</w:t>
      </w:r>
      <w:r w:rsidR="00456CCC"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 xml:space="preserve">на тржишту </w:t>
      </w:r>
      <w:r w:rsidR="00456CCC" w:rsidRPr="00AF6F54">
        <w:rPr>
          <w:rFonts w:ascii="Times New Roman" w:eastAsiaTheme="minorEastAsia" w:hAnsi="Times New Roman" w:cs="Times New Roman"/>
          <w:i/>
          <w:sz w:val="24"/>
          <w:szCs w:val="24"/>
        </w:rPr>
        <w:t>j</w:t>
      </w:r>
      <w:r w:rsidR="00456CCC"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који се рачуна:</w:t>
      </w:r>
    </w:p>
    <w:p w:rsidR="00456CCC" w:rsidRPr="00AF6F54" w:rsidRDefault="00AF6F54" w:rsidP="00D74E7F">
      <w:pPr>
        <w:spacing w:after="200" w:line="276"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i,j</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e>
              </m:nary>
            </m:den>
          </m:f>
          <m:r>
            <w:rPr>
              <w:rFonts w:ascii="Cambria Math" w:hAnsi="Cambria Math" w:cs="Times New Roman"/>
              <w:sz w:val="24"/>
              <w:szCs w:val="24"/>
            </w:rPr>
            <m:t>,     i≠j, i=1,2,…,N</m:t>
          </m:r>
          <m:r>
            <w:rPr>
              <w:rFonts w:ascii="Cambria Math" w:eastAsiaTheme="minorEastAsia" w:hAnsi="Cambria Math" w:cs="Times New Roman"/>
              <w:sz w:val="24"/>
              <w:szCs w:val="24"/>
            </w:rPr>
            <m:t>, j=1,2,…,H</m:t>
          </m:r>
        </m:oMath>
      </m:oMathPara>
    </w:p>
    <w:p w:rsidR="00E964F9" w:rsidRPr="00AF6F54" w:rsidRDefault="00716870" w:rsidP="00D74E7F">
      <w:pPr>
        <w:spacing w:after="200" w:line="276" w:lineRule="auto"/>
        <w:jc w:val="both"/>
        <w:rPr>
          <w:rFonts w:ascii="Times New Roman" w:hAnsi="Times New Roman" w:cs="Times New Roman"/>
          <w:sz w:val="24"/>
          <w:szCs w:val="24"/>
        </w:rPr>
      </w:pPr>
      <w:r w:rsidRPr="00AF6F54">
        <w:rPr>
          <w:rFonts w:ascii="Times New Roman" w:hAnsi="Times New Roman" w:cs="Times New Roman"/>
          <w:sz w:val="24"/>
          <w:szCs w:val="24"/>
        </w:rPr>
        <w:t xml:space="preserve">Гдје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i,j</m:t>
            </m:r>
          </m:sub>
          <m:sup>
            <m:r>
              <w:rPr>
                <w:rFonts w:ascii="Cambria Math" w:hAnsi="Cambria Math" w:cs="Times New Roman"/>
                <w:sz w:val="24"/>
                <w:szCs w:val="24"/>
              </w:rPr>
              <m:t>a</m:t>
            </m:r>
          </m:sup>
        </m:sSubSup>
      </m:oMath>
      <w:r w:rsidR="00456CCC" w:rsidRPr="00AF6F54">
        <w:rPr>
          <w:rFonts w:ascii="Times New Roman" w:eastAsiaTheme="minorEastAsia" w:hAnsi="Times New Roman" w:cs="Times New Roman"/>
          <w:sz w:val="24"/>
          <w:szCs w:val="24"/>
        </w:rPr>
        <w:t xml:space="preserve"> </w:t>
      </w:r>
      <w:r w:rsidRPr="00AF6F54">
        <w:rPr>
          <w:rFonts w:ascii="Times New Roman" w:hAnsi="Times New Roman" w:cs="Times New Roman"/>
          <w:sz w:val="24"/>
          <w:szCs w:val="24"/>
        </w:rPr>
        <w:t xml:space="preserve">означава извоз земље </w:t>
      </w:r>
      <w:r w:rsidR="00456CCC" w:rsidRPr="00AF6F54">
        <w:rPr>
          <w:rFonts w:ascii="Times New Roman" w:hAnsi="Times New Roman" w:cs="Times New Roman"/>
          <w:i/>
          <w:sz w:val="24"/>
          <w:szCs w:val="24"/>
        </w:rPr>
        <w:t>i</w:t>
      </w:r>
      <w:r w:rsidR="00456CCC" w:rsidRPr="00AF6F54">
        <w:rPr>
          <w:rFonts w:ascii="Times New Roman" w:hAnsi="Times New Roman" w:cs="Times New Roman"/>
          <w:sz w:val="24"/>
          <w:szCs w:val="24"/>
        </w:rPr>
        <w:t xml:space="preserve"> </w:t>
      </w:r>
      <w:r w:rsidRPr="00AF6F54">
        <w:rPr>
          <w:rFonts w:ascii="Times New Roman" w:hAnsi="Times New Roman" w:cs="Times New Roman"/>
          <w:sz w:val="24"/>
          <w:szCs w:val="24"/>
        </w:rPr>
        <w:t xml:space="preserve">на тржиште </w:t>
      </w:r>
      <w:r w:rsidR="00456CCC" w:rsidRPr="00AF6F54">
        <w:rPr>
          <w:rFonts w:ascii="Times New Roman" w:hAnsi="Times New Roman" w:cs="Times New Roman"/>
          <w:i/>
          <w:sz w:val="24"/>
          <w:szCs w:val="24"/>
        </w:rPr>
        <w:t>j</w:t>
      </w:r>
      <w:r w:rsidR="00456CCC" w:rsidRPr="00AF6F54">
        <w:rPr>
          <w:rFonts w:ascii="Times New Roman" w:hAnsi="Times New Roman" w:cs="Times New Roman"/>
          <w:sz w:val="24"/>
          <w:szCs w:val="24"/>
        </w:rPr>
        <w:t xml:space="preserve"> </w:t>
      </w:r>
      <w:r w:rsidRPr="00AF6F54">
        <w:rPr>
          <w:rFonts w:ascii="Times New Roman" w:hAnsi="Times New Roman" w:cs="Times New Roman"/>
          <w:sz w:val="24"/>
          <w:szCs w:val="24"/>
        </w:rPr>
        <w:t>и</w:t>
      </w:r>
      <w:r w:rsidR="00456CCC" w:rsidRPr="00AF6F5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oMath>
      <w:r w:rsidR="00456CCC" w:rsidRPr="00AF6F54">
        <w:rPr>
          <w:rFonts w:ascii="Times New Roman" w:hAnsi="Times New Roman" w:cs="Times New Roman"/>
          <w:sz w:val="24"/>
          <w:szCs w:val="24"/>
        </w:rPr>
        <w:t xml:space="preserve"> </w:t>
      </w:r>
      <w:r w:rsidR="00E964F9" w:rsidRPr="00AF6F54">
        <w:rPr>
          <w:rFonts w:ascii="Times New Roman" w:hAnsi="Times New Roman" w:cs="Times New Roman"/>
          <w:sz w:val="24"/>
          <w:szCs w:val="24"/>
        </w:rPr>
        <w:t xml:space="preserve">представља бруто домаћу производњу производа прерађивачке индустрије земље </w:t>
      </w:r>
      <w:r w:rsidR="00E964F9" w:rsidRPr="00AF6F54">
        <w:rPr>
          <w:rFonts w:ascii="Times New Roman" w:hAnsi="Times New Roman" w:cs="Times New Roman"/>
          <w:i/>
          <w:sz w:val="24"/>
          <w:szCs w:val="24"/>
        </w:rPr>
        <w:t>i</w:t>
      </w:r>
      <w:r w:rsidR="00E964F9" w:rsidRPr="00AF6F54">
        <w:rPr>
          <w:rFonts w:ascii="Times New Roman" w:hAnsi="Times New Roman" w:cs="Times New Roman"/>
          <w:sz w:val="24"/>
          <w:szCs w:val="24"/>
        </w:rPr>
        <w:t xml:space="preserve"> која се прода на домаћем тржишту тих земаља у референтном периоду и служи као замјенска вриједност за бруто вриједност понуде прерађивачких производа произведених на домаћем тржишту.</w:t>
      </w:r>
    </w:p>
    <w:p w:rsidR="00456CCC" w:rsidRPr="00AF6F54" w:rsidRDefault="00716870" w:rsidP="00D74E7F">
      <w:pPr>
        <w:spacing w:after="200" w:line="276" w:lineRule="auto"/>
        <w:jc w:val="both"/>
        <w:rPr>
          <w:rFonts w:ascii="Times New Roman" w:hAnsi="Times New Roman" w:cs="Times New Roman"/>
          <w:sz w:val="24"/>
          <w:szCs w:val="24"/>
        </w:rPr>
      </w:pPr>
      <w:r w:rsidRPr="00AF6F54">
        <w:rPr>
          <w:rFonts w:ascii="Times New Roman" w:hAnsi="Times New Roman" w:cs="Times New Roman"/>
          <w:sz w:val="24"/>
          <w:szCs w:val="24"/>
        </w:rPr>
        <w:t>Онда се у</w:t>
      </w:r>
      <w:r w:rsidR="00CE3561" w:rsidRPr="00AF6F54">
        <w:rPr>
          <w:rFonts w:ascii="Times New Roman" w:hAnsi="Times New Roman" w:cs="Times New Roman"/>
          <w:sz w:val="24"/>
          <w:szCs w:val="24"/>
          <w:lang w:val="sr-Cyrl-BA"/>
        </w:rPr>
        <w:t>чешће</w:t>
      </w:r>
      <w:r w:rsidRPr="00AF6F54">
        <w:rPr>
          <w:rFonts w:ascii="Times New Roman" w:hAnsi="Times New Roman" w:cs="Times New Roman"/>
          <w:sz w:val="24"/>
          <w:szCs w:val="24"/>
        </w:rPr>
        <w:t xml:space="preserve"> прерађивачке индустрије произведене у свакој од тржишта конкурената које чине референтну групу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oMath>
      <w:r w:rsidR="00813149" w:rsidRPr="00AF6F54">
        <w:rPr>
          <w:rFonts w:ascii="Times New Roman" w:hAnsi="Times New Roman" w:cs="Times New Roman"/>
          <w:sz w:val="24"/>
          <w:szCs w:val="24"/>
        </w:rPr>
        <w:t xml:space="preserve"> </w:t>
      </w:r>
      <w:r w:rsidRPr="00AF6F54">
        <w:rPr>
          <w:rFonts w:ascii="Times New Roman" w:hAnsi="Times New Roman" w:cs="Times New Roman"/>
          <w:sz w:val="24"/>
          <w:szCs w:val="24"/>
        </w:rPr>
        <w:t>рачуна као:</w:t>
      </w:r>
    </w:p>
    <w:p w:rsidR="00456CCC" w:rsidRPr="00AF6F54" w:rsidRDefault="00AF6F54" w:rsidP="00D74E7F">
      <w:pPr>
        <w:spacing w:after="200" w:line="276"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i,i</m:t>
                      </m:r>
                    </m:sub>
                    <m:sup>
                      <m:r>
                        <w:rPr>
                          <w:rFonts w:ascii="Cambria Math" w:hAnsi="Cambria Math" w:cs="Times New Roman"/>
                          <w:sz w:val="24"/>
                          <w:szCs w:val="24"/>
                        </w:rPr>
                        <m:t>a</m:t>
                      </m:r>
                    </m:sup>
                  </m:sSubSup>
                </m:e>
              </m:nary>
            </m:den>
          </m:f>
        </m:oMath>
      </m:oMathPara>
    </w:p>
    <w:p w:rsidR="00456CCC" w:rsidRPr="00AF6F54" w:rsidRDefault="00716870" w:rsidP="00D74E7F">
      <w:pPr>
        <w:spacing w:after="200" w:line="276" w:lineRule="auto"/>
        <w:jc w:val="both"/>
        <w:rPr>
          <w:rFonts w:ascii="Times New Roman" w:eastAsiaTheme="minorEastAsia" w:hAnsi="Times New Roman" w:cs="Times New Roman"/>
          <w:sz w:val="24"/>
          <w:szCs w:val="24"/>
        </w:rPr>
      </w:pPr>
      <w:r w:rsidRPr="00AF6F54">
        <w:rPr>
          <w:rFonts w:ascii="Times New Roman" w:hAnsi="Times New Roman" w:cs="Times New Roman"/>
          <w:sz w:val="24"/>
          <w:szCs w:val="24"/>
        </w:rPr>
        <w:t xml:space="preserve">Гдје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i,i</m:t>
            </m:r>
          </m:sub>
          <m:sup>
            <m:r>
              <w:rPr>
                <w:rFonts w:ascii="Cambria Math" w:hAnsi="Cambria Math" w:cs="Times New Roman"/>
                <w:sz w:val="24"/>
                <w:szCs w:val="24"/>
              </w:rPr>
              <m:t>a</m:t>
            </m:r>
          </m:sup>
        </m:sSubSup>
      </m:oMath>
      <w:r w:rsidR="00456CCC"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 xml:space="preserve">представља извоз земље </w:t>
      </w:r>
      <w:r w:rsidR="00456CCC" w:rsidRPr="00AF6F54">
        <w:rPr>
          <w:rFonts w:ascii="Times New Roman" w:eastAsiaTheme="minorEastAsia" w:hAnsi="Times New Roman" w:cs="Times New Roman"/>
          <w:i/>
          <w:sz w:val="24"/>
          <w:szCs w:val="24"/>
        </w:rPr>
        <w:t>i</w:t>
      </w:r>
      <w:r w:rsidR="00456CCC" w:rsidRPr="00AF6F54">
        <w:rPr>
          <w:rFonts w:ascii="Times New Roman" w:eastAsiaTheme="minorEastAsia" w:hAnsi="Times New Roman" w:cs="Times New Roman"/>
          <w:sz w:val="24"/>
          <w:szCs w:val="24"/>
        </w:rPr>
        <w:t xml:space="preserve"> </w:t>
      </w:r>
      <w:r w:rsidR="0003749C" w:rsidRPr="00AF6F54">
        <w:rPr>
          <w:rFonts w:ascii="Times New Roman" w:eastAsiaTheme="minorEastAsia" w:hAnsi="Times New Roman" w:cs="Times New Roman"/>
          <w:sz w:val="24"/>
          <w:szCs w:val="24"/>
        </w:rPr>
        <w:t xml:space="preserve">на тржишта референтне групе </w:t>
      </w:r>
      <w:r w:rsidR="00456CCC" w:rsidRPr="00AF6F54">
        <w:rPr>
          <w:rFonts w:ascii="Times New Roman" w:eastAsiaTheme="minorEastAsia" w:hAnsi="Times New Roman" w:cs="Times New Roman"/>
          <w:sz w:val="24"/>
          <w:szCs w:val="24"/>
        </w:rPr>
        <w:t>N.</w:t>
      </w:r>
    </w:p>
    <w:p w:rsidR="002A43B9" w:rsidRPr="00AF6F54" w:rsidRDefault="00716870" w:rsidP="00D74E7F">
      <w:pPr>
        <w:spacing w:after="200" w:line="276" w:lineRule="auto"/>
        <w:jc w:val="both"/>
        <w:rPr>
          <w:rFonts w:ascii="Times New Roman" w:hAnsi="Times New Roman" w:cs="Times New Roman"/>
          <w:sz w:val="24"/>
          <w:szCs w:val="24"/>
        </w:rPr>
      </w:pPr>
      <w:r w:rsidRPr="00AF6F54">
        <w:rPr>
          <w:rFonts w:ascii="Times New Roman" w:hAnsi="Times New Roman" w:cs="Times New Roman"/>
          <w:sz w:val="24"/>
          <w:szCs w:val="24"/>
        </w:rPr>
        <w:t xml:space="preserve">Увозни пондер земље </w:t>
      </w:r>
      <w:r w:rsidR="002A43B9" w:rsidRPr="00AF6F54">
        <w:rPr>
          <w:rFonts w:ascii="Times New Roman" w:hAnsi="Times New Roman" w:cs="Times New Roman"/>
          <w:i/>
          <w:sz w:val="24"/>
          <w:szCs w:val="24"/>
        </w:rPr>
        <w:t>i</w:t>
      </w:r>
      <w:r w:rsidR="002A43B9" w:rsidRPr="00AF6F54">
        <w:rPr>
          <w:rFonts w:ascii="Times New Roman" w:hAnsi="Times New Roman" w:cs="Times New Roman"/>
          <w:sz w:val="24"/>
          <w:szCs w:val="24"/>
        </w:rPr>
        <w:t xml:space="preserve"> </w:t>
      </w:r>
      <w:r w:rsidRPr="00AF6F54">
        <w:rPr>
          <w:rFonts w:ascii="Times New Roman" w:hAnsi="Times New Roman" w:cs="Times New Roman"/>
          <w:sz w:val="24"/>
          <w:szCs w:val="24"/>
        </w:rPr>
        <w:t>не подлијеже прилаго</w:t>
      </w:r>
      <w:r w:rsidR="00CE3561" w:rsidRPr="00AF6F54">
        <w:rPr>
          <w:rFonts w:ascii="Times New Roman" w:hAnsi="Times New Roman" w:cs="Times New Roman"/>
          <w:sz w:val="24"/>
          <w:szCs w:val="24"/>
          <w:lang w:val="sr-Cyrl-BA"/>
        </w:rPr>
        <w:t>ђавањима</w:t>
      </w:r>
      <w:r w:rsidRPr="00AF6F54">
        <w:rPr>
          <w:rFonts w:ascii="Times New Roman" w:hAnsi="Times New Roman" w:cs="Times New Roman"/>
          <w:sz w:val="24"/>
          <w:szCs w:val="24"/>
        </w:rPr>
        <w:t xml:space="preserve"> и једнак је једноставном у</w:t>
      </w:r>
      <w:r w:rsidR="00CE3561" w:rsidRPr="00AF6F54">
        <w:rPr>
          <w:rFonts w:ascii="Times New Roman" w:hAnsi="Times New Roman" w:cs="Times New Roman"/>
          <w:sz w:val="24"/>
          <w:szCs w:val="24"/>
          <w:lang w:val="sr-Cyrl-BA"/>
        </w:rPr>
        <w:t>чешћу</w:t>
      </w:r>
      <w:r w:rsidRPr="00AF6F54">
        <w:rPr>
          <w:rFonts w:ascii="Times New Roman" w:hAnsi="Times New Roman" w:cs="Times New Roman"/>
          <w:sz w:val="24"/>
          <w:szCs w:val="24"/>
        </w:rPr>
        <w:t xml:space="preserve"> земље </w:t>
      </w:r>
      <w:r w:rsidR="002A43B9" w:rsidRPr="00AF6F54">
        <w:rPr>
          <w:rFonts w:ascii="Times New Roman" w:hAnsi="Times New Roman" w:cs="Times New Roman"/>
          <w:i/>
          <w:sz w:val="24"/>
          <w:szCs w:val="24"/>
        </w:rPr>
        <w:t>i</w:t>
      </w:r>
      <w:r w:rsidR="002A43B9" w:rsidRPr="00AF6F54">
        <w:rPr>
          <w:rFonts w:ascii="Times New Roman" w:hAnsi="Times New Roman" w:cs="Times New Roman"/>
          <w:sz w:val="24"/>
          <w:szCs w:val="24"/>
        </w:rPr>
        <w:t xml:space="preserve"> </w:t>
      </w:r>
      <w:r w:rsidRPr="00AF6F54">
        <w:rPr>
          <w:rFonts w:ascii="Times New Roman" w:hAnsi="Times New Roman" w:cs="Times New Roman"/>
          <w:sz w:val="24"/>
          <w:szCs w:val="24"/>
        </w:rPr>
        <w:t>у укупном увозу БиХ из </w:t>
      </w:r>
      <w:r w:rsidR="002A43B9" w:rsidRPr="00AF6F54">
        <w:rPr>
          <w:rFonts w:ascii="Times New Roman" w:hAnsi="Times New Roman" w:cs="Times New Roman"/>
          <w:sz w:val="24"/>
          <w:szCs w:val="24"/>
        </w:rPr>
        <w:t xml:space="preserve">N </w:t>
      </w:r>
      <w:r w:rsidR="00D06AEE" w:rsidRPr="00AF6F54">
        <w:rPr>
          <w:rFonts w:ascii="Times New Roman" w:hAnsi="Times New Roman" w:cs="Times New Roman"/>
          <w:sz w:val="24"/>
          <w:szCs w:val="24"/>
        </w:rPr>
        <w:t>конкурентских економија који чине референтну групу, те се рачуна помоћу сљедеће формуле:</w:t>
      </w:r>
    </w:p>
    <w:p w:rsidR="002A43B9" w:rsidRPr="00AF6F54" w:rsidRDefault="00AF6F54" w:rsidP="00D74E7F">
      <w:pPr>
        <w:spacing w:after="200" w:line="276" w:lineRule="auto"/>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m:t>
                      </m:r>
                    </m:sub>
                    <m:sup>
                      <m:r>
                        <w:rPr>
                          <w:rFonts w:ascii="Cambria Math" w:hAnsi="Cambria Math" w:cs="Times New Roman"/>
                          <w:sz w:val="24"/>
                          <w:szCs w:val="24"/>
                        </w:rPr>
                        <m:t>a</m:t>
                      </m:r>
                    </m:sup>
                  </m:sSubSup>
                </m:e>
              </m:nary>
            </m:den>
          </m:f>
          <m:r>
            <w:rPr>
              <w:rFonts w:ascii="Cambria Math" w:hAnsi="Cambria Math" w:cs="Times New Roman"/>
              <w:sz w:val="24"/>
              <w:szCs w:val="24"/>
            </w:rPr>
            <m:t>,       i=1,2,…,N</m:t>
          </m:r>
        </m:oMath>
      </m:oMathPara>
    </w:p>
    <w:p w:rsidR="002C5661" w:rsidRPr="00AF6F54" w:rsidRDefault="00D06AEE" w:rsidP="00D74E7F">
      <w:pPr>
        <w:spacing w:after="200" w:line="276" w:lineRule="auto"/>
        <w:jc w:val="both"/>
        <w:rPr>
          <w:rFonts w:ascii="Times New Roman" w:eastAsiaTheme="minorEastAsia" w:hAnsi="Times New Roman" w:cs="Times New Roman"/>
          <w:sz w:val="24"/>
          <w:szCs w:val="24"/>
        </w:rPr>
      </w:pPr>
      <w:r w:rsidRPr="00AF6F54">
        <w:rPr>
          <w:rFonts w:ascii="Times New Roman" w:hAnsi="Times New Roman" w:cs="Times New Roman"/>
          <w:sz w:val="24"/>
          <w:szCs w:val="24"/>
        </w:rPr>
        <w:t xml:space="preserve">Гдје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a</m:t>
            </m:r>
          </m:sup>
        </m:sSup>
      </m:oMath>
      <w:r w:rsidR="002C5661"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представља увоз БиХ из земље</w:t>
      </w:r>
      <w:r w:rsidR="002C5661" w:rsidRPr="00AF6F54">
        <w:rPr>
          <w:rFonts w:ascii="Times New Roman" w:eastAsiaTheme="minorEastAsia" w:hAnsi="Times New Roman" w:cs="Times New Roman"/>
          <w:sz w:val="24"/>
          <w:szCs w:val="24"/>
        </w:rPr>
        <w:t xml:space="preserve"> </w:t>
      </w:r>
      <w:r w:rsidR="002C5661" w:rsidRPr="00AF6F54">
        <w:rPr>
          <w:rFonts w:ascii="Times New Roman" w:eastAsiaTheme="minorEastAsia" w:hAnsi="Times New Roman" w:cs="Times New Roman"/>
          <w:i/>
          <w:sz w:val="24"/>
          <w:szCs w:val="24"/>
        </w:rPr>
        <w:t>i</w:t>
      </w:r>
      <w:r w:rsidR="002C5661"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у референтном периоду.</w:t>
      </w:r>
    </w:p>
    <w:p w:rsidR="002A43B9" w:rsidRPr="00AF6F54" w:rsidRDefault="00D06AEE" w:rsidP="00D74E7F">
      <w:pPr>
        <w:spacing w:after="200" w:line="276" w:lineRule="auto"/>
        <w:jc w:val="both"/>
        <w:rPr>
          <w:rFonts w:ascii="Times New Roman" w:hAnsi="Times New Roman" w:cs="Times New Roman"/>
          <w:sz w:val="24"/>
          <w:szCs w:val="24"/>
        </w:rPr>
      </w:pPr>
      <w:r w:rsidRPr="00AF6F54">
        <w:rPr>
          <w:rFonts w:ascii="Times New Roman" w:hAnsi="Times New Roman" w:cs="Times New Roman"/>
          <w:sz w:val="24"/>
          <w:szCs w:val="24"/>
        </w:rPr>
        <w:t xml:space="preserve">Укупни трговински пондер појединачне земље партнера </w:t>
      </w:r>
      <w:r w:rsidR="002A43B9" w:rsidRPr="00AF6F54">
        <w:rPr>
          <w:rFonts w:ascii="Times New Roman" w:hAnsi="Times New Roman" w:cs="Times New Roman"/>
          <w:i/>
          <w:sz w:val="24"/>
          <w:szCs w:val="24"/>
        </w:rPr>
        <w:t>i</w:t>
      </w:r>
      <w:r w:rsidR="002A43B9" w:rsidRPr="00AF6F54">
        <w:rPr>
          <w:rFonts w:ascii="Times New Roman" w:hAnsi="Times New Roman" w:cs="Times New Roman"/>
          <w:sz w:val="24"/>
          <w:szCs w:val="24"/>
        </w:rPr>
        <w:t xml:space="preserve"> </w:t>
      </w:r>
      <w:r w:rsidR="0003749C" w:rsidRPr="00AF6F54">
        <w:rPr>
          <w:rFonts w:ascii="Times New Roman" w:hAnsi="Times New Roman" w:cs="Times New Roman"/>
          <w:sz w:val="24"/>
          <w:szCs w:val="24"/>
        </w:rPr>
        <w:t>добија се као пондерисани просјек извозног и увозног пондера</w:t>
      </w:r>
      <w:r w:rsidRPr="00AF6F54">
        <w:rPr>
          <w:rFonts w:ascii="Times New Roman" w:hAnsi="Times New Roman" w:cs="Times New Roman"/>
          <w:sz w:val="24"/>
          <w:szCs w:val="24"/>
        </w:rPr>
        <w:t>, тј.:</w:t>
      </w:r>
    </w:p>
    <w:p w:rsidR="002A43B9" w:rsidRPr="00AF6F54" w:rsidRDefault="00AF6F54" w:rsidP="00D74E7F">
      <w:pPr>
        <w:spacing w:after="200" w:line="276"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den>
              </m:f>
            </m:e>
          </m:d>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den>
              </m:f>
            </m:e>
          </m:d>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      i=1,2,…,N</m:t>
          </m:r>
        </m:oMath>
      </m:oMathPara>
    </w:p>
    <w:p w:rsidR="00A97899" w:rsidRPr="00AF6F54" w:rsidRDefault="00D06AEE" w:rsidP="002C5661">
      <w:pPr>
        <w:spacing w:after="200" w:line="276" w:lineRule="auto"/>
        <w:jc w:val="both"/>
        <w:rPr>
          <w:rFonts w:ascii="Times New Roman" w:eastAsiaTheme="minorEastAsia" w:hAnsi="Times New Roman" w:cs="Times New Roman"/>
          <w:sz w:val="24"/>
          <w:szCs w:val="24"/>
        </w:rPr>
      </w:pPr>
      <w:r w:rsidRPr="00AF6F54">
        <w:rPr>
          <w:rFonts w:ascii="Times New Roman" w:hAnsi="Times New Roman" w:cs="Times New Roman"/>
          <w:sz w:val="24"/>
          <w:szCs w:val="24"/>
        </w:rPr>
        <w:t xml:space="preserve">Гдје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oMath>
      <w:r w:rsidR="002C5661" w:rsidRPr="00AF6F54">
        <w:rPr>
          <w:rFonts w:ascii="Times New Roman" w:eastAsiaTheme="minorEastAsia" w:hAnsi="Times New Roman" w:cs="Times New Roman"/>
          <w:sz w:val="24"/>
          <w:szCs w:val="24"/>
        </w:rPr>
        <w:t xml:space="preserve">=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H</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a</m:t>
                </m:r>
              </m:sup>
            </m:sSubSup>
          </m:e>
        </m:nary>
      </m:oMath>
      <w:r w:rsidR="002C5661"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 xml:space="preserve">означава </w:t>
      </w:r>
      <w:r w:rsidR="00CE3561" w:rsidRPr="00AF6F54">
        <w:rPr>
          <w:rFonts w:ascii="Times New Roman" w:eastAsiaTheme="minorEastAsia" w:hAnsi="Times New Roman" w:cs="Times New Roman"/>
          <w:sz w:val="24"/>
          <w:szCs w:val="24"/>
          <w:lang w:val="sr-Cyrl-BA"/>
        </w:rPr>
        <w:t>бх.</w:t>
      </w:r>
      <w:r w:rsidRPr="00AF6F54">
        <w:rPr>
          <w:rFonts w:ascii="Times New Roman" w:eastAsiaTheme="minorEastAsia" w:hAnsi="Times New Roman" w:cs="Times New Roman"/>
          <w:sz w:val="24"/>
          <w:szCs w:val="24"/>
        </w:rPr>
        <w:t xml:space="preserve"> извоз према </w:t>
      </w:r>
      <w:r w:rsidR="002C5661" w:rsidRPr="00AF6F54">
        <w:rPr>
          <w:rFonts w:ascii="Times New Roman" w:eastAsiaTheme="minorEastAsia" w:hAnsi="Times New Roman" w:cs="Times New Roman"/>
          <w:sz w:val="24"/>
          <w:szCs w:val="24"/>
        </w:rPr>
        <w:t xml:space="preserve">H </w:t>
      </w:r>
      <w:r w:rsidRPr="00AF6F54">
        <w:rPr>
          <w:rFonts w:ascii="Times New Roman" w:eastAsiaTheme="minorEastAsia" w:hAnsi="Times New Roman" w:cs="Times New Roman"/>
          <w:sz w:val="24"/>
          <w:szCs w:val="24"/>
        </w:rPr>
        <w:t>страним тржиштима</w:t>
      </w:r>
      <w:r w:rsidR="002C5661" w:rsidRPr="00AF6F54">
        <w:rPr>
          <w:rFonts w:ascii="Times New Roman" w:eastAsiaTheme="minorEastAsia" w:hAnsi="Times New Roman" w:cs="Times New Roman"/>
          <w:sz w:val="24"/>
          <w:szCs w:val="24"/>
        </w:rPr>
        <w:t xml:space="preserve">, 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a</m:t>
            </m:r>
          </m:sup>
        </m:s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a</m:t>
                </m:r>
              </m:sup>
            </m:sSubSup>
          </m:e>
        </m:nary>
      </m:oMath>
      <w:r w:rsidR="002C5661"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 xml:space="preserve">означава </w:t>
      </w:r>
      <w:r w:rsidR="00CE3561" w:rsidRPr="00AF6F54">
        <w:rPr>
          <w:rFonts w:ascii="Times New Roman" w:eastAsiaTheme="minorEastAsia" w:hAnsi="Times New Roman" w:cs="Times New Roman"/>
          <w:sz w:val="24"/>
          <w:szCs w:val="24"/>
          <w:lang w:val="sr-Cyrl-BA"/>
        </w:rPr>
        <w:t>бх.</w:t>
      </w:r>
      <w:r w:rsidRPr="00AF6F54">
        <w:rPr>
          <w:rFonts w:ascii="Times New Roman" w:eastAsiaTheme="minorEastAsia" w:hAnsi="Times New Roman" w:cs="Times New Roman"/>
          <w:sz w:val="24"/>
          <w:szCs w:val="24"/>
        </w:rPr>
        <w:t xml:space="preserve"> увоз из N конкурентских економија.</w:t>
      </w:r>
    </w:p>
    <w:p w:rsidR="00D06AEE" w:rsidRPr="00AF6F54" w:rsidRDefault="00D06AEE" w:rsidP="002C5661">
      <w:pPr>
        <w:spacing w:after="200" w:line="276" w:lineRule="auto"/>
        <w:jc w:val="both"/>
        <w:rPr>
          <w:rFonts w:ascii="Times New Roman" w:hAnsi="Times New Roman" w:cs="Times New Roman"/>
          <w:sz w:val="24"/>
          <w:szCs w:val="24"/>
        </w:rPr>
      </w:pPr>
    </w:p>
    <w:p w:rsidR="0062625C" w:rsidRPr="00AF6F54" w:rsidRDefault="00D06AEE" w:rsidP="0062625C">
      <w:pPr>
        <w:pStyle w:val="Heading3"/>
        <w:ind w:left="708" w:firstLine="708"/>
        <w:rPr>
          <w:lang w:val="bs-Latn-BA"/>
        </w:rPr>
      </w:pPr>
      <w:r w:rsidRPr="00AF6F54">
        <w:rPr>
          <w:lang w:val="bs-Latn-BA"/>
        </w:rPr>
        <w:t>Двоструко пондерисани извозни пондер у пракси</w:t>
      </w:r>
    </w:p>
    <w:p w:rsidR="00D06AEE" w:rsidRPr="00AF6F54" w:rsidRDefault="00D06AEE" w:rsidP="00D74E7F">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Домаћа производња прерађивачког сектора представља додану вриједност производа прерађивачке индустрије увећану за увоз тих произ</w:t>
      </w:r>
      <w:r w:rsidR="00CE3561" w:rsidRPr="00AF6F54">
        <w:rPr>
          <w:rFonts w:ascii="Times New Roman" w:eastAsiaTheme="minorEastAsia" w:hAnsi="Times New Roman" w:cs="Times New Roman"/>
          <w:sz w:val="24"/>
          <w:szCs w:val="24"/>
        </w:rPr>
        <w:t>вода и умањену за њихов извоз. Циљ датог прилагођења био</w:t>
      </w:r>
      <w:r w:rsidRPr="00AF6F54">
        <w:rPr>
          <w:rFonts w:ascii="Times New Roman" w:eastAsiaTheme="minorEastAsia" w:hAnsi="Times New Roman" w:cs="Times New Roman"/>
          <w:sz w:val="24"/>
          <w:szCs w:val="24"/>
        </w:rPr>
        <w:t xml:space="preserve"> је добити укупну количину производа која се нуди на домаћем тржишту.</w:t>
      </w:r>
    </w:p>
    <w:p w:rsidR="00D06AEE" w:rsidRPr="00AF6F54" w:rsidRDefault="00D06AEE" w:rsidP="00D06AEE">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У </w:t>
      </w:r>
      <w:r w:rsidR="00CE3561" w:rsidRPr="00AF6F54">
        <w:rPr>
          <w:rFonts w:ascii="Times New Roman" w:eastAsiaTheme="minorEastAsia" w:hAnsi="Times New Roman" w:cs="Times New Roman"/>
          <w:sz w:val="24"/>
          <w:szCs w:val="24"/>
          <w:lang w:val="sr-Cyrl-BA"/>
        </w:rPr>
        <w:t>т</w:t>
      </w:r>
      <w:r w:rsidRPr="00AF6F54">
        <w:rPr>
          <w:rFonts w:ascii="Times New Roman" w:eastAsiaTheme="minorEastAsia" w:hAnsi="Times New Roman" w:cs="Times New Roman"/>
          <w:sz w:val="24"/>
          <w:szCs w:val="24"/>
        </w:rPr>
        <w:t xml:space="preserve">абели 1, </w:t>
      </w:r>
      <w:r w:rsidR="00CE3561" w:rsidRPr="00AF6F54">
        <w:rPr>
          <w:rFonts w:ascii="Times New Roman" w:eastAsiaTheme="minorEastAsia" w:hAnsi="Times New Roman" w:cs="Times New Roman"/>
          <w:sz w:val="24"/>
          <w:szCs w:val="24"/>
          <w:lang w:val="sr-Cyrl-BA"/>
        </w:rPr>
        <w:t>д</w:t>
      </w:r>
      <w:r w:rsidRPr="00AF6F54">
        <w:rPr>
          <w:rFonts w:ascii="Times New Roman" w:eastAsiaTheme="minorEastAsia" w:hAnsi="Times New Roman" w:cs="Times New Roman"/>
          <w:sz w:val="24"/>
          <w:szCs w:val="24"/>
        </w:rPr>
        <w:t>ио 1. налазе се једноставни извозни пондери који одражавају у</w:t>
      </w:r>
      <w:r w:rsidR="00CE3561" w:rsidRPr="00AF6F54">
        <w:rPr>
          <w:rFonts w:ascii="Times New Roman" w:eastAsiaTheme="minorEastAsia" w:hAnsi="Times New Roman" w:cs="Times New Roman"/>
          <w:sz w:val="24"/>
          <w:szCs w:val="24"/>
          <w:lang w:val="sr-Cyrl-BA"/>
        </w:rPr>
        <w:t>чешће</w:t>
      </w:r>
      <w:r w:rsidRPr="00AF6F54">
        <w:rPr>
          <w:rFonts w:ascii="Times New Roman" w:eastAsiaTheme="minorEastAsia" w:hAnsi="Times New Roman" w:cs="Times New Roman"/>
          <w:sz w:val="24"/>
          <w:szCs w:val="24"/>
        </w:rPr>
        <w:t xml:space="preserve"> извоза БиХ (5</w:t>
      </w:r>
      <w:r w:rsidR="00CE3561" w:rsidRPr="00AF6F54">
        <w:rPr>
          <w:rFonts w:ascii="Times New Roman" w:eastAsiaTheme="minorEastAsia" w:hAnsi="Times New Roman" w:cs="Times New Roman"/>
          <w:sz w:val="24"/>
          <w:szCs w:val="24"/>
          <w:lang w:val="sr-Cyrl-BA"/>
        </w:rPr>
        <w:t>-</w:t>
      </w:r>
      <w:r w:rsidRPr="00AF6F54">
        <w:rPr>
          <w:rFonts w:ascii="Times New Roman" w:eastAsiaTheme="minorEastAsia" w:hAnsi="Times New Roman" w:cs="Times New Roman"/>
          <w:sz w:val="24"/>
          <w:szCs w:val="24"/>
        </w:rPr>
        <w:t>8 СМТК) у сваку од 21 земљ</w:t>
      </w:r>
      <w:r w:rsidR="00CE3561" w:rsidRPr="00AF6F54">
        <w:rPr>
          <w:rFonts w:ascii="Times New Roman" w:eastAsiaTheme="minorEastAsia" w:hAnsi="Times New Roman" w:cs="Times New Roman"/>
          <w:sz w:val="24"/>
          <w:szCs w:val="24"/>
          <w:lang w:val="sr-Cyrl-BA"/>
        </w:rPr>
        <w:t>е</w:t>
      </w:r>
      <w:r w:rsidRPr="00AF6F54">
        <w:rPr>
          <w:rFonts w:ascii="Times New Roman" w:eastAsiaTheme="minorEastAsia" w:hAnsi="Times New Roman" w:cs="Times New Roman"/>
          <w:sz w:val="24"/>
          <w:szCs w:val="24"/>
        </w:rPr>
        <w:t xml:space="preserve"> партнера, као и према свим осталим земљама, које су сврстане под ознаком </w:t>
      </w:r>
      <w:r w:rsidR="00CE3561" w:rsidRPr="00AF6F54">
        <w:rPr>
          <w:rFonts w:ascii="Times New Roman" w:eastAsiaTheme="minorEastAsia" w:hAnsi="Times New Roman" w:cs="Times New Roman"/>
          <w:sz w:val="24"/>
          <w:szCs w:val="24"/>
          <w:lang w:val="sr-Cyrl-BA"/>
        </w:rPr>
        <w:t>о</w:t>
      </w:r>
      <w:r w:rsidRPr="00AF6F54">
        <w:rPr>
          <w:rFonts w:ascii="Times New Roman" w:eastAsiaTheme="minorEastAsia" w:hAnsi="Times New Roman" w:cs="Times New Roman"/>
          <w:sz w:val="24"/>
          <w:szCs w:val="24"/>
        </w:rPr>
        <w:t xml:space="preserve">статак свијета. На примјер, </w:t>
      </w:r>
      <w:r w:rsidR="00B8463E" w:rsidRPr="00AF6F54">
        <w:rPr>
          <w:rFonts w:ascii="Times New Roman" w:hAnsi="Times New Roman" w:cs="Times New Roman"/>
          <w:sz w:val="24"/>
          <w:szCs w:val="24"/>
        </w:rPr>
        <w:t xml:space="preserve">6.56% </w:t>
      </w:r>
      <w:r w:rsidRPr="00AF6F54">
        <w:rPr>
          <w:rFonts w:ascii="Times New Roman" w:eastAsiaTheme="minorEastAsia" w:hAnsi="Times New Roman" w:cs="Times New Roman"/>
          <w:sz w:val="24"/>
          <w:szCs w:val="24"/>
        </w:rPr>
        <w:t xml:space="preserve">укупног извоза БиХ се односи на Аустрију, </w:t>
      </w:r>
      <w:r w:rsidR="00B8463E" w:rsidRPr="00AF6F54">
        <w:rPr>
          <w:rFonts w:ascii="Times New Roman" w:hAnsi="Times New Roman" w:cs="Times New Roman"/>
          <w:sz w:val="24"/>
          <w:szCs w:val="24"/>
        </w:rPr>
        <w:t xml:space="preserve">13.38% </w:t>
      </w:r>
      <w:r w:rsidRPr="00AF6F54">
        <w:rPr>
          <w:rFonts w:ascii="Times New Roman" w:eastAsiaTheme="minorEastAsia" w:hAnsi="Times New Roman" w:cs="Times New Roman"/>
          <w:sz w:val="24"/>
          <w:szCs w:val="24"/>
        </w:rPr>
        <w:t xml:space="preserve">на Хрватску, </w:t>
      </w:r>
      <w:r w:rsidR="00B8463E" w:rsidRPr="00AF6F54">
        <w:rPr>
          <w:rFonts w:ascii="Times New Roman" w:hAnsi="Times New Roman" w:cs="Times New Roman"/>
          <w:sz w:val="24"/>
          <w:szCs w:val="24"/>
        </w:rPr>
        <w:t xml:space="preserve">15.47% </w:t>
      </w:r>
      <w:r w:rsidRPr="00AF6F54">
        <w:rPr>
          <w:rFonts w:ascii="Times New Roman" w:eastAsiaTheme="minorEastAsia" w:hAnsi="Times New Roman" w:cs="Times New Roman"/>
          <w:sz w:val="24"/>
          <w:szCs w:val="24"/>
        </w:rPr>
        <w:t xml:space="preserve">на Њемачку, итд. </w:t>
      </w:r>
    </w:p>
    <w:p w:rsidR="00D06AEE" w:rsidRPr="00AF6F54" w:rsidRDefault="00D06AEE" w:rsidP="00D06AEE">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lastRenderedPageBreak/>
        <w:t xml:space="preserve">Дио 2. представља структурну матрицу понуде земаља партнера, гдје збир процената </w:t>
      </w:r>
      <w:r w:rsidR="0003749C" w:rsidRPr="00AF6F54">
        <w:rPr>
          <w:rFonts w:ascii="Times New Roman" w:eastAsiaTheme="minorEastAsia" w:hAnsi="Times New Roman" w:cs="Times New Roman"/>
          <w:sz w:val="24"/>
          <w:szCs w:val="24"/>
        </w:rPr>
        <w:t xml:space="preserve">у колонама мора износити </w:t>
      </w:r>
      <w:r w:rsidRPr="00AF6F54">
        <w:rPr>
          <w:rFonts w:ascii="Times New Roman" w:eastAsiaTheme="minorEastAsia" w:hAnsi="Times New Roman" w:cs="Times New Roman"/>
          <w:sz w:val="24"/>
          <w:szCs w:val="24"/>
        </w:rPr>
        <w:t>100%.</w:t>
      </w:r>
    </w:p>
    <w:p w:rsidR="006C0464" w:rsidRPr="00AF6F54" w:rsidRDefault="00AF6F54" w:rsidP="00D06AEE">
      <w:pPr>
        <w:spacing w:after="200" w:line="276"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r>
          <w:rPr>
            <w:rFonts w:ascii="Cambria Math" w:hAnsi="Cambria Math" w:cs="Times New Roman"/>
            <w:sz w:val="24"/>
            <w:szCs w:val="24"/>
          </w:rPr>
          <m:t xml:space="preserve">  </m:t>
        </m:r>
      </m:oMath>
      <w:r w:rsidR="00D06AEE" w:rsidRPr="00AF6F54">
        <w:rPr>
          <w:rFonts w:ascii="Times New Roman" w:eastAsiaTheme="minorEastAsia" w:hAnsi="Times New Roman" w:cs="Times New Roman"/>
          <w:sz w:val="24"/>
          <w:szCs w:val="24"/>
        </w:rPr>
        <w:t>Сваки елемент у овом дијелу – искључујући оне на главној дијагонали – означавају проценат производа прерађивачке индустрије произведених у некој земљи конкурента</w:t>
      </w:r>
      <w:r w:rsidR="006C0464" w:rsidRPr="00AF6F54">
        <w:rPr>
          <w:rFonts w:ascii="Times New Roman" w:eastAsiaTheme="minorEastAsia" w:hAnsi="Times New Roman" w:cs="Times New Roman"/>
          <w:sz w:val="24"/>
          <w:szCs w:val="24"/>
        </w:rPr>
        <w:t xml:space="preserve"> N </w:t>
      </w:r>
      <w:r w:rsidR="00D06AEE" w:rsidRPr="00AF6F54">
        <w:rPr>
          <w:rFonts w:ascii="Times New Roman" w:eastAsiaTheme="minorEastAsia" w:hAnsi="Times New Roman" w:cs="Times New Roman"/>
          <w:sz w:val="24"/>
          <w:szCs w:val="24"/>
        </w:rPr>
        <w:t>(у редовима) и извезених на једно од страних тржишта</w:t>
      </w:r>
      <w:r w:rsidR="006C0464" w:rsidRPr="00AF6F54">
        <w:rPr>
          <w:rFonts w:ascii="Times New Roman" w:eastAsiaTheme="minorEastAsia" w:hAnsi="Times New Roman" w:cs="Times New Roman"/>
          <w:sz w:val="24"/>
          <w:szCs w:val="24"/>
        </w:rPr>
        <w:t xml:space="preserve"> H </w:t>
      </w:r>
      <w:r w:rsidR="0003749C" w:rsidRPr="00AF6F54">
        <w:rPr>
          <w:rFonts w:ascii="Times New Roman" w:eastAsiaTheme="minorEastAsia" w:hAnsi="Times New Roman" w:cs="Times New Roman"/>
          <w:sz w:val="24"/>
          <w:szCs w:val="24"/>
        </w:rPr>
        <w:t>(</w:t>
      </w:r>
      <w:r w:rsidR="00D06AEE" w:rsidRPr="00AF6F54">
        <w:rPr>
          <w:rFonts w:ascii="Times New Roman" w:eastAsiaTheme="minorEastAsia" w:hAnsi="Times New Roman" w:cs="Times New Roman"/>
          <w:sz w:val="24"/>
          <w:szCs w:val="24"/>
        </w:rPr>
        <w:t>у колонама). На примјер, у првој колони можемо прим</w:t>
      </w:r>
      <w:r w:rsidR="00C0610E" w:rsidRPr="00AF6F54">
        <w:rPr>
          <w:rFonts w:ascii="Times New Roman" w:eastAsiaTheme="minorEastAsia" w:hAnsi="Times New Roman" w:cs="Times New Roman"/>
          <w:sz w:val="24"/>
          <w:szCs w:val="24"/>
          <w:lang w:val="sr-Cyrl-BA"/>
        </w:rPr>
        <w:t>и</w:t>
      </w:r>
      <w:r w:rsidR="00D06AEE" w:rsidRPr="00AF6F54">
        <w:rPr>
          <w:rFonts w:ascii="Times New Roman" w:eastAsiaTheme="minorEastAsia" w:hAnsi="Times New Roman" w:cs="Times New Roman"/>
          <w:sz w:val="24"/>
          <w:szCs w:val="24"/>
        </w:rPr>
        <w:t xml:space="preserve">јетити да </w:t>
      </w:r>
      <w:r w:rsidR="00B8463E" w:rsidRPr="00AF6F54">
        <w:rPr>
          <w:rFonts w:ascii="Times New Roman" w:eastAsiaTheme="minorEastAsia" w:hAnsi="Times New Roman" w:cs="Times New Roman"/>
          <w:sz w:val="24"/>
          <w:szCs w:val="24"/>
        </w:rPr>
        <w:t xml:space="preserve">1.34% </w:t>
      </w:r>
      <w:r w:rsidR="00D06AEE" w:rsidRPr="00AF6F54">
        <w:rPr>
          <w:rFonts w:ascii="Times New Roman" w:eastAsiaTheme="minorEastAsia" w:hAnsi="Times New Roman" w:cs="Times New Roman"/>
          <w:sz w:val="24"/>
          <w:szCs w:val="24"/>
        </w:rPr>
        <w:t xml:space="preserve">се односи на увоз из Кине, </w:t>
      </w:r>
      <w:r w:rsidR="00B8463E" w:rsidRPr="00AF6F54">
        <w:rPr>
          <w:rFonts w:ascii="Times New Roman" w:hAnsi="Times New Roman" w:cs="Times New Roman"/>
          <w:sz w:val="24"/>
          <w:szCs w:val="24"/>
        </w:rPr>
        <w:t>21.83%</w:t>
      </w:r>
      <w:r w:rsidR="00B8463E" w:rsidRPr="00AF6F54">
        <w:rPr>
          <w:rFonts w:ascii="Times New Roman" w:eastAsiaTheme="minorEastAsia" w:hAnsi="Times New Roman" w:cs="Times New Roman"/>
          <w:sz w:val="24"/>
          <w:szCs w:val="24"/>
        </w:rPr>
        <w:t xml:space="preserve"> </w:t>
      </w:r>
      <w:r w:rsidR="00D06AEE" w:rsidRPr="00AF6F54">
        <w:rPr>
          <w:rFonts w:ascii="Times New Roman" w:eastAsiaTheme="minorEastAsia" w:hAnsi="Times New Roman" w:cs="Times New Roman"/>
          <w:sz w:val="24"/>
          <w:szCs w:val="24"/>
        </w:rPr>
        <w:t>на увоз из Њемачке, итд.</w:t>
      </w:r>
    </w:p>
    <w:p w:rsidR="006C0464" w:rsidRPr="00AF6F54" w:rsidRDefault="00AF6F54" w:rsidP="00D74E7F">
      <w:pPr>
        <w:spacing w:after="200" w:line="276"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oMath>
      <w:r w:rsidR="006C0464" w:rsidRPr="00AF6F54">
        <w:rPr>
          <w:rFonts w:ascii="Times New Roman" w:eastAsiaTheme="minorEastAsia" w:hAnsi="Times New Roman" w:cs="Times New Roman"/>
          <w:sz w:val="24"/>
          <w:szCs w:val="24"/>
        </w:rPr>
        <w:t xml:space="preserve"> </w:t>
      </w:r>
      <w:r w:rsidR="00D06AEE" w:rsidRPr="00AF6F54">
        <w:rPr>
          <w:rFonts w:ascii="Times New Roman" w:eastAsiaTheme="minorEastAsia" w:hAnsi="Times New Roman" w:cs="Times New Roman"/>
          <w:sz w:val="24"/>
          <w:szCs w:val="24"/>
        </w:rPr>
        <w:t xml:space="preserve">Елементи на главној дијагонали, структурне матрице понуде, означавају проценат производа прерађивачке индустрије произведених у свакој од земаља конкурената које чине референтну групу, а намијењених домаћем тржишту тих земаља. На примјер, у Аустрији </w:t>
      </w:r>
      <w:r w:rsidR="00B8463E" w:rsidRPr="00AF6F54">
        <w:rPr>
          <w:rFonts w:ascii="Times New Roman" w:eastAsiaTheme="minorEastAsia" w:hAnsi="Times New Roman" w:cs="Times New Roman"/>
          <w:sz w:val="24"/>
          <w:szCs w:val="24"/>
        </w:rPr>
        <w:t xml:space="preserve">44.43% </w:t>
      </w:r>
      <w:r w:rsidR="0003749C" w:rsidRPr="00AF6F54">
        <w:rPr>
          <w:rFonts w:ascii="Times New Roman" w:eastAsiaTheme="minorEastAsia" w:hAnsi="Times New Roman" w:cs="Times New Roman"/>
          <w:sz w:val="24"/>
          <w:szCs w:val="24"/>
        </w:rPr>
        <w:t>укупне понуде прерађивачких производа је из домаће производње (прва колона),</w:t>
      </w:r>
      <w:r w:rsidR="00CE3561" w:rsidRPr="00AF6F54">
        <w:rPr>
          <w:rFonts w:ascii="Times New Roman" w:eastAsiaTheme="minorEastAsia" w:hAnsi="Times New Roman" w:cs="Times New Roman"/>
          <w:sz w:val="24"/>
          <w:szCs w:val="24"/>
        </w:rPr>
        <w:t xml:space="preserve"> у Кини </w:t>
      </w:r>
      <w:r w:rsidR="00B8463E" w:rsidRPr="00AF6F54">
        <w:rPr>
          <w:rFonts w:ascii="Times New Roman" w:eastAsiaTheme="minorEastAsia" w:hAnsi="Times New Roman" w:cs="Times New Roman"/>
          <w:sz w:val="24"/>
          <w:szCs w:val="24"/>
        </w:rPr>
        <w:t xml:space="preserve">76,19% </w:t>
      </w:r>
      <w:r w:rsidR="00CE3561" w:rsidRPr="00AF6F54">
        <w:rPr>
          <w:rFonts w:ascii="Times New Roman" w:eastAsiaTheme="minorEastAsia" w:hAnsi="Times New Roman" w:cs="Times New Roman"/>
          <w:sz w:val="24"/>
          <w:szCs w:val="24"/>
        </w:rPr>
        <w:t>(</w:t>
      </w:r>
      <w:r w:rsidR="00B8463E" w:rsidRPr="00AF6F54">
        <w:rPr>
          <w:rFonts w:ascii="Times New Roman" w:eastAsiaTheme="minorEastAsia" w:hAnsi="Times New Roman" w:cs="Times New Roman"/>
          <w:sz w:val="24"/>
          <w:szCs w:val="24"/>
        </w:rPr>
        <w:t>трећа</w:t>
      </w:r>
      <w:r w:rsidR="00CE3561" w:rsidRPr="00AF6F54">
        <w:rPr>
          <w:rFonts w:ascii="Times New Roman" w:eastAsiaTheme="minorEastAsia" w:hAnsi="Times New Roman" w:cs="Times New Roman"/>
          <w:sz w:val="24"/>
          <w:szCs w:val="24"/>
        </w:rPr>
        <w:t xml:space="preserve"> колона), итд</w:t>
      </w:r>
      <w:r w:rsidR="0003749C" w:rsidRPr="00AF6F54">
        <w:rPr>
          <w:rFonts w:ascii="Times New Roman" w:eastAsiaTheme="minorEastAsia" w:hAnsi="Times New Roman" w:cs="Times New Roman"/>
          <w:sz w:val="24"/>
          <w:szCs w:val="24"/>
        </w:rPr>
        <w:t>.</w:t>
      </w:r>
    </w:p>
    <w:p w:rsidR="00E67B13" w:rsidRPr="00AF6F54" w:rsidRDefault="00D06AEE" w:rsidP="00D74E7F">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Дио 3. представља двоструко пондерисани извозни пондер, при њиховом израчуну ЦББиХ користи се формулом представљеном у претходном поглављу </w:t>
      </w:r>
      <m:oMath>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x</m:t>
            </m:r>
          </m:sup>
        </m:sSubSup>
      </m:oMath>
      <w:r w:rsidR="00E67B13"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 xml:space="preserve">гдје се сваки ред у дијелу 2 множи са редом у дијелу 1. </w:t>
      </w:r>
      <w:r w:rsidR="0003749C" w:rsidRPr="00AF6F54">
        <w:rPr>
          <w:rFonts w:ascii="Times New Roman" w:eastAsiaTheme="minorEastAsia" w:hAnsi="Times New Roman" w:cs="Times New Roman"/>
          <w:sz w:val="24"/>
          <w:szCs w:val="24"/>
        </w:rPr>
        <w:t xml:space="preserve">те на основу тих израчуна можемо констатовати да је двоструко пондерисани извозни пондер за Аустрију </w:t>
      </w:r>
      <w:r w:rsidR="00B8463E" w:rsidRPr="00AF6F54">
        <w:rPr>
          <w:rFonts w:ascii="Times New Roman" w:eastAsiaTheme="minorEastAsia" w:hAnsi="Times New Roman" w:cs="Times New Roman"/>
          <w:sz w:val="24"/>
          <w:szCs w:val="24"/>
        </w:rPr>
        <w:t xml:space="preserve">5.52%.  </w:t>
      </w:r>
    </w:p>
    <w:p w:rsidR="00E67B13" w:rsidRPr="00AF6F54" w:rsidRDefault="00D06AEE" w:rsidP="00D74E7F">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Дио 4. представља утицај стране конкуренције на домаћем тржишту, те стога представља скуп билатералних увозних пондера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m:t>
        </m:r>
      </m:oMath>
      <w:r w:rsidR="007C0E2B"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те је једнак једноставном у</w:t>
      </w:r>
      <w:r w:rsidR="00CE3561" w:rsidRPr="00AF6F54">
        <w:rPr>
          <w:rFonts w:ascii="Times New Roman" w:eastAsiaTheme="minorEastAsia" w:hAnsi="Times New Roman" w:cs="Times New Roman"/>
          <w:sz w:val="24"/>
          <w:szCs w:val="24"/>
          <w:lang w:val="sr-Cyrl-BA"/>
        </w:rPr>
        <w:t>чешћу</w:t>
      </w:r>
      <w:r w:rsidRPr="00AF6F54">
        <w:rPr>
          <w:rFonts w:ascii="Times New Roman" w:eastAsiaTheme="minorEastAsia" w:hAnsi="Times New Roman" w:cs="Times New Roman"/>
          <w:sz w:val="24"/>
          <w:szCs w:val="24"/>
        </w:rPr>
        <w:t xml:space="preserve"> земље</w:t>
      </w:r>
      <w:r w:rsidR="00E67B13" w:rsidRPr="00AF6F54">
        <w:rPr>
          <w:rFonts w:ascii="Times New Roman" w:eastAsiaTheme="minorEastAsia" w:hAnsi="Times New Roman" w:cs="Times New Roman"/>
          <w:sz w:val="24"/>
          <w:szCs w:val="24"/>
        </w:rPr>
        <w:t xml:space="preserve"> </w:t>
      </w:r>
      <w:r w:rsidR="00E67B13" w:rsidRPr="00AF6F54">
        <w:rPr>
          <w:rFonts w:ascii="Times New Roman" w:eastAsiaTheme="minorEastAsia" w:hAnsi="Times New Roman" w:cs="Times New Roman"/>
          <w:i/>
          <w:sz w:val="24"/>
          <w:szCs w:val="24"/>
        </w:rPr>
        <w:t>i</w:t>
      </w:r>
      <w:r w:rsidR="00E67B13"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 xml:space="preserve">у укупном увозу БиХ из </w:t>
      </w:r>
      <w:r w:rsidR="00E67B13" w:rsidRPr="00AF6F54">
        <w:rPr>
          <w:rFonts w:ascii="Times New Roman" w:eastAsiaTheme="minorEastAsia" w:hAnsi="Times New Roman" w:cs="Times New Roman"/>
          <w:sz w:val="24"/>
          <w:szCs w:val="24"/>
        </w:rPr>
        <w:t xml:space="preserve">N </w:t>
      </w:r>
      <w:r w:rsidRPr="00AF6F54">
        <w:rPr>
          <w:rFonts w:ascii="Times New Roman" w:eastAsiaTheme="minorEastAsia" w:hAnsi="Times New Roman" w:cs="Times New Roman"/>
          <w:sz w:val="24"/>
          <w:szCs w:val="24"/>
        </w:rPr>
        <w:t>конкурентне економије.</w:t>
      </w:r>
    </w:p>
    <w:p w:rsidR="00E67B13" w:rsidRPr="00AF6F54" w:rsidRDefault="00D06AEE" w:rsidP="00D74E7F">
      <w:pPr>
        <w:spacing w:after="200" w:line="276" w:lineRule="auto"/>
        <w:jc w:val="both"/>
        <w:rPr>
          <w:rFonts w:ascii="Times New Roman" w:eastAsiaTheme="minorEastAsia" w:hAnsi="Times New Roman" w:cs="Times New Roman"/>
          <w:sz w:val="24"/>
          <w:szCs w:val="24"/>
          <w:lang w:val="sr-Cyrl-BA"/>
        </w:rPr>
      </w:pPr>
      <w:r w:rsidRPr="00AF6F54">
        <w:rPr>
          <w:rFonts w:ascii="Times New Roman" w:eastAsiaTheme="minorEastAsia" w:hAnsi="Times New Roman" w:cs="Times New Roman"/>
          <w:sz w:val="24"/>
          <w:szCs w:val="24"/>
        </w:rPr>
        <w:t xml:space="preserve">Дио 5. Представља укупне пондере, те </w:t>
      </w:r>
      <w:r w:rsidR="00CE3561" w:rsidRPr="00AF6F54">
        <w:rPr>
          <w:rFonts w:ascii="Times New Roman" w:eastAsiaTheme="minorEastAsia" w:hAnsi="Times New Roman" w:cs="Times New Roman"/>
          <w:sz w:val="24"/>
          <w:szCs w:val="24"/>
        </w:rPr>
        <w:t xml:space="preserve">се </w:t>
      </w:r>
      <w:r w:rsidRPr="00AF6F54">
        <w:rPr>
          <w:rFonts w:ascii="Times New Roman" w:eastAsiaTheme="minorEastAsia" w:hAnsi="Times New Roman" w:cs="Times New Roman"/>
          <w:sz w:val="24"/>
          <w:szCs w:val="24"/>
        </w:rPr>
        <w:t xml:space="preserve">за њихов израчун двоструко пондерисани извозни пондер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 xml:space="preserve">) </m:t>
        </m:r>
      </m:oMath>
      <w:r w:rsidRPr="00AF6F54">
        <w:rPr>
          <w:rFonts w:ascii="Times New Roman" w:eastAsiaTheme="minorEastAsia" w:hAnsi="Times New Roman" w:cs="Times New Roman"/>
          <w:sz w:val="24"/>
          <w:szCs w:val="24"/>
        </w:rPr>
        <w:t>и билатерални увозни пондер</w:t>
      </w:r>
      <m:oMath>
        <m:r>
          <w:rPr>
            <w:rFonts w:ascii="Cambria Math" w:eastAsiaTheme="minorEastAsia"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 xml:space="preserve">) </m:t>
        </m:r>
      </m:oMath>
      <w:r w:rsidRPr="00AF6F54">
        <w:rPr>
          <w:rFonts w:ascii="Times New Roman" w:eastAsiaTheme="minorEastAsia" w:hAnsi="Times New Roman" w:cs="Times New Roman"/>
          <w:sz w:val="24"/>
          <w:szCs w:val="24"/>
        </w:rPr>
        <w:t>морају заједно пондерис</w:t>
      </w:r>
      <w:r w:rsidR="00CE3561" w:rsidRPr="00AF6F54">
        <w:rPr>
          <w:rFonts w:ascii="Times New Roman" w:eastAsiaTheme="minorEastAsia" w:hAnsi="Times New Roman" w:cs="Times New Roman"/>
          <w:sz w:val="24"/>
          <w:szCs w:val="24"/>
        </w:rPr>
        <w:t>ати. На примјер, користећи горе</w:t>
      </w:r>
      <w:r w:rsidR="00B8463E"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 xml:space="preserve">наведене математичке формуле, укупни пондер за Аустрију је </w:t>
      </w:r>
      <w:r w:rsidR="00B8463E" w:rsidRPr="00AF6F54">
        <w:rPr>
          <w:rFonts w:ascii="Times New Roman" w:eastAsiaTheme="minorEastAsia" w:hAnsi="Times New Roman" w:cs="Times New Roman"/>
          <w:sz w:val="24"/>
          <w:szCs w:val="24"/>
        </w:rPr>
        <w:t xml:space="preserve">6.41%, </w:t>
      </w:r>
      <w:r w:rsidRPr="00AF6F54">
        <w:rPr>
          <w:rFonts w:ascii="Times New Roman" w:eastAsiaTheme="minorEastAsia" w:hAnsi="Times New Roman" w:cs="Times New Roman"/>
          <w:sz w:val="24"/>
          <w:szCs w:val="24"/>
        </w:rPr>
        <w:t xml:space="preserve">за Хрватску </w:t>
      </w:r>
      <w:r w:rsidR="00B8463E" w:rsidRPr="00AF6F54">
        <w:rPr>
          <w:rFonts w:ascii="Times New Roman" w:eastAsiaTheme="minorEastAsia" w:hAnsi="Times New Roman" w:cs="Times New Roman"/>
          <w:sz w:val="24"/>
          <w:szCs w:val="24"/>
        </w:rPr>
        <w:t xml:space="preserve">11.92%, </w:t>
      </w:r>
      <w:r w:rsidRPr="00AF6F54">
        <w:rPr>
          <w:rFonts w:ascii="Times New Roman" w:eastAsiaTheme="minorEastAsia" w:hAnsi="Times New Roman" w:cs="Times New Roman"/>
          <w:sz w:val="24"/>
          <w:szCs w:val="24"/>
        </w:rPr>
        <w:t>итд.</w:t>
      </w:r>
      <w:r w:rsidR="00CE3561" w:rsidRPr="00AF6F54">
        <w:rPr>
          <w:rFonts w:ascii="Times New Roman" w:eastAsiaTheme="minorEastAsia" w:hAnsi="Times New Roman" w:cs="Times New Roman"/>
          <w:sz w:val="24"/>
          <w:szCs w:val="24"/>
          <w:lang w:val="sr-Cyrl-BA"/>
        </w:rPr>
        <w:t xml:space="preserve"> </w:t>
      </w:r>
    </w:p>
    <w:p w:rsidR="0047618B" w:rsidRPr="00AF6F54" w:rsidRDefault="0047618B" w:rsidP="00D74E7F">
      <w:pPr>
        <w:spacing w:after="200" w:line="276" w:lineRule="auto"/>
        <w:jc w:val="both"/>
        <w:rPr>
          <w:rFonts w:ascii="Times New Roman" w:eastAsiaTheme="minorEastAsia" w:hAnsi="Times New Roman" w:cs="Times New Roman"/>
          <w:sz w:val="24"/>
          <w:szCs w:val="24"/>
        </w:rPr>
      </w:pPr>
    </w:p>
    <w:p w:rsidR="00E67B13" w:rsidRPr="00AF6F54" w:rsidRDefault="00E67B13" w:rsidP="00D74E7F">
      <w:pPr>
        <w:spacing w:after="200" w:line="276" w:lineRule="auto"/>
        <w:jc w:val="both"/>
        <w:rPr>
          <w:rFonts w:ascii="Times New Roman" w:eastAsiaTheme="minorEastAsia" w:hAnsi="Times New Roman" w:cs="Times New Roman"/>
          <w:sz w:val="24"/>
          <w:szCs w:val="24"/>
        </w:rPr>
      </w:pPr>
    </w:p>
    <w:p w:rsidR="006C0464" w:rsidRPr="00AF6F54" w:rsidRDefault="006C0464" w:rsidP="00D74E7F">
      <w:pPr>
        <w:spacing w:after="200" w:line="276" w:lineRule="auto"/>
        <w:jc w:val="both"/>
        <w:rPr>
          <w:rFonts w:ascii="Times New Roman" w:eastAsiaTheme="minorEastAsia" w:hAnsi="Times New Roman" w:cs="Times New Roman"/>
          <w:sz w:val="24"/>
          <w:szCs w:val="24"/>
        </w:rPr>
      </w:pPr>
    </w:p>
    <w:p w:rsidR="004A5DD9" w:rsidRPr="00AF6F54" w:rsidRDefault="004A5DD9" w:rsidP="00D74E7F">
      <w:pPr>
        <w:spacing w:after="200" w:line="276" w:lineRule="auto"/>
        <w:jc w:val="both"/>
        <w:rPr>
          <w:rFonts w:ascii="Times New Roman" w:eastAsiaTheme="minorEastAsia" w:hAnsi="Times New Roman" w:cs="Times New Roman"/>
          <w:sz w:val="24"/>
          <w:szCs w:val="24"/>
        </w:rPr>
      </w:pPr>
    </w:p>
    <w:p w:rsidR="004A5DD9" w:rsidRPr="00AF6F54" w:rsidRDefault="004A5DD9" w:rsidP="00D74E7F">
      <w:pPr>
        <w:spacing w:after="200" w:line="276" w:lineRule="auto"/>
        <w:jc w:val="both"/>
        <w:rPr>
          <w:rFonts w:ascii="Times New Roman" w:eastAsiaTheme="minorEastAsia" w:hAnsi="Times New Roman" w:cs="Times New Roman"/>
          <w:sz w:val="24"/>
          <w:szCs w:val="24"/>
        </w:rPr>
      </w:pPr>
    </w:p>
    <w:p w:rsidR="004A5DD9" w:rsidRPr="00AF6F54" w:rsidRDefault="004A5DD9" w:rsidP="00D74E7F">
      <w:pPr>
        <w:spacing w:after="200" w:line="276" w:lineRule="auto"/>
        <w:jc w:val="both"/>
        <w:rPr>
          <w:rFonts w:ascii="Times New Roman" w:eastAsiaTheme="minorEastAsia" w:hAnsi="Times New Roman" w:cs="Times New Roman"/>
          <w:sz w:val="24"/>
          <w:szCs w:val="24"/>
        </w:rPr>
      </w:pPr>
    </w:p>
    <w:p w:rsidR="004A5DD9" w:rsidRPr="00AF6F54" w:rsidRDefault="004A5DD9" w:rsidP="00D74E7F">
      <w:pPr>
        <w:spacing w:after="200" w:line="276" w:lineRule="auto"/>
        <w:jc w:val="both"/>
        <w:rPr>
          <w:rFonts w:ascii="Times New Roman" w:eastAsiaTheme="minorEastAsia" w:hAnsi="Times New Roman" w:cs="Times New Roman"/>
          <w:sz w:val="24"/>
          <w:szCs w:val="24"/>
        </w:rPr>
      </w:pPr>
    </w:p>
    <w:p w:rsidR="004A5DD9" w:rsidRPr="00AF6F54" w:rsidRDefault="004A5DD9" w:rsidP="00D74E7F">
      <w:pPr>
        <w:spacing w:after="200" w:line="276" w:lineRule="auto"/>
        <w:jc w:val="both"/>
        <w:rPr>
          <w:rFonts w:ascii="Times New Roman" w:eastAsiaTheme="minorEastAsia" w:hAnsi="Times New Roman" w:cs="Times New Roman"/>
          <w:sz w:val="24"/>
          <w:szCs w:val="24"/>
        </w:rPr>
      </w:pPr>
    </w:p>
    <w:p w:rsidR="004A5DD9" w:rsidRPr="00AF6F54" w:rsidRDefault="004A5DD9" w:rsidP="00D74E7F">
      <w:pPr>
        <w:spacing w:after="200" w:line="276" w:lineRule="auto"/>
        <w:jc w:val="both"/>
        <w:rPr>
          <w:rFonts w:ascii="Times New Roman" w:eastAsiaTheme="minorEastAsia" w:hAnsi="Times New Roman" w:cs="Times New Roman"/>
          <w:sz w:val="24"/>
          <w:szCs w:val="24"/>
        </w:rPr>
      </w:pPr>
    </w:p>
    <w:p w:rsidR="004A5DD9" w:rsidRPr="00AF6F54" w:rsidRDefault="004A5DD9" w:rsidP="00D74E7F">
      <w:pPr>
        <w:spacing w:after="200" w:line="276" w:lineRule="auto"/>
        <w:jc w:val="both"/>
        <w:rPr>
          <w:rFonts w:ascii="Times New Roman" w:eastAsiaTheme="minorEastAsia" w:hAnsi="Times New Roman" w:cs="Times New Roman"/>
          <w:sz w:val="24"/>
          <w:szCs w:val="24"/>
        </w:rPr>
      </w:pPr>
    </w:p>
    <w:p w:rsidR="004A5DD9" w:rsidRPr="00AF6F54" w:rsidRDefault="004A5DD9" w:rsidP="00D74E7F">
      <w:pPr>
        <w:spacing w:after="200" w:line="276" w:lineRule="auto"/>
        <w:jc w:val="both"/>
        <w:rPr>
          <w:rFonts w:ascii="Times New Roman" w:eastAsiaTheme="minorEastAsia" w:hAnsi="Times New Roman" w:cs="Times New Roman"/>
          <w:sz w:val="24"/>
          <w:szCs w:val="24"/>
        </w:rPr>
        <w:sectPr w:rsidR="004A5DD9" w:rsidRPr="00AF6F54" w:rsidSect="00BE23DB">
          <w:pgSz w:w="11906" w:h="16838"/>
          <w:pgMar w:top="1417" w:right="1417" w:bottom="1417" w:left="1417" w:header="708" w:footer="708" w:gutter="0"/>
          <w:cols w:space="708"/>
          <w:docGrid w:linePitch="360"/>
        </w:sectPr>
      </w:pPr>
    </w:p>
    <w:p w:rsidR="00073CBC" w:rsidRPr="00AF6F54" w:rsidRDefault="00D06AEE" w:rsidP="00073CBC">
      <w:pPr>
        <w:pStyle w:val="Caption"/>
      </w:pPr>
      <w:r w:rsidRPr="00AF6F54">
        <w:lastRenderedPageBreak/>
        <w:t>Табела 1 Израчун пондера у %</w:t>
      </w:r>
    </w:p>
    <w:p w:rsidR="00632C6C" w:rsidRPr="00AF6F54" w:rsidRDefault="00632C6C" w:rsidP="00632C6C">
      <w:r w:rsidRPr="00AF6F54">
        <w:rPr>
          <w:noProof/>
          <w:lang w:eastAsia="bs-Latn-BA"/>
        </w:rPr>
        <w:drawing>
          <wp:inline distT="0" distB="0" distL="0" distR="0">
            <wp:extent cx="8891270" cy="4697734"/>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1270" cy="4697734"/>
                    </a:xfrm>
                    <a:prstGeom prst="rect">
                      <a:avLst/>
                    </a:prstGeom>
                    <a:noFill/>
                    <a:ln>
                      <a:noFill/>
                    </a:ln>
                  </pic:spPr>
                </pic:pic>
              </a:graphicData>
            </a:graphic>
          </wp:inline>
        </w:drawing>
      </w:r>
    </w:p>
    <w:p w:rsidR="004A5DD9" w:rsidRPr="00AF6F54" w:rsidRDefault="004A5DD9" w:rsidP="00D74E7F">
      <w:pPr>
        <w:spacing w:after="200" w:line="276" w:lineRule="auto"/>
        <w:jc w:val="both"/>
        <w:rPr>
          <w:rFonts w:ascii="Times New Roman" w:eastAsiaTheme="minorEastAsia" w:hAnsi="Times New Roman" w:cs="Times New Roman"/>
          <w:sz w:val="24"/>
          <w:szCs w:val="24"/>
        </w:rPr>
      </w:pPr>
    </w:p>
    <w:p w:rsidR="00054C75" w:rsidRPr="00AF6F54" w:rsidRDefault="00054C75" w:rsidP="00073CBC">
      <w:pPr>
        <w:jc w:val="both"/>
        <w:rPr>
          <w:rFonts w:ascii="Times New Roman" w:eastAsiaTheme="minorEastAsia" w:hAnsi="Times New Roman" w:cs="Times New Roman"/>
          <w:sz w:val="24"/>
          <w:szCs w:val="24"/>
        </w:rPr>
        <w:sectPr w:rsidR="00054C75" w:rsidRPr="00AF6F54" w:rsidSect="004A5DD9">
          <w:pgSz w:w="16838" w:h="11906" w:orient="landscape"/>
          <w:pgMar w:top="1418" w:right="1418" w:bottom="1418" w:left="1418" w:header="709" w:footer="709" w:gutter="0"/>
          <w:cols w:space="708"/>
          <w:docGrid w:linePitch="360"/>
        </w:sectPr>
      </w:pPr>
    </w:p>
    <w:p w:rsidR="00073CBC" w:rsidRPr="00AF6F54" w:rsidRDefault="00D201E0" w:rsidP="00054C75">
      <w:pPr>
        <w:pStyle w:val="Heading2"/>
        <w:ind w:firstLine="360"/>
        <w:rPr>
          <w:lang w:val="bs-Latn-BA"/>
        </w:rPr>
      </w:pPr>
      <w:r w:rsidRPr="00AF6F54">
        <w:rPr>
          <w:lang w:val="bs-Latn-BA"/>
        </w:rPr>
        <w:lastRenderedPageBreak/>
        <w:t>Одабир валута</w:t>
      </w:r>
    </w:p>
    <w:p w:rsidR="0003749C" w:rsidRPr="00AF6F54" w:rsidRDefault="0003749C" w:rsidP="00073CBC">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Избор валуте се </w:t>
      </w:r>
      <w:r w:rsidR="00CE3561" w:rsidRPr="00AF6F54">
        <w:rPr>
          <w:rFonts w:ascii="Times New Roman" w:eastAsiaTheme="minorEastAsia" w:hAnsi="Times New Roman" w:cs="Times New Roman"/>
          <w:sz w:val="24"/>
          <w:szCs w:val="24"/>
          <w:lang w:val="sr-Cyrl-BA"/>
        </w:rPr>
        <w:t xml:space="preserve">заснива </w:t>
      </w:r>
      <w:r w:rsidRPr="00AF6F54">
        <w:rPr>
          <w:rFonts w:ascii="Times New Roman" w:eastAsiaTheme="minorEastAsia" w:hAnsi="Times New Roman" w:cs="Times New Roman"/>
          <w:sz w:val="24"/>
          <w:szCs w:val="24"/>
        </w:rPr>
        <w:t>на избору трго</w:t>
      </w:r>
      <w:r w:rsidR="00CE3561" w:rsidRPr="00AF6F54">
        <w:rPr>
          <w:rFonts w:ascii="Times New Roman" w:eastAsiaTheme="minorEastAsia" w:hAnsi="Times New Roman" w:cs="Times New Roman"/>
          <w:sz w:val="24"/>
          <w:szCs w:val="24"/>
        </w:rPr>
        <w:t>винских партнера, при чему се ев</w:t>
      </w:r>
      <w:r w:rsidRPr="00AF6F54">
        <w:rPr>
          <w:rFonts w:ascii="Times New Roman" w:eastAsiaTheme="minorEastAsia" w:hAnsi="Times New Roman" w:cs="Times New Roman"/>
          <w:sz w:val="24"/>
          <w:szCs w:val="24"/>
        </w:rPr>
        <w:t xml:space="preserve">ро користи за чланице </w:t>
      </w:r>
      <w:r w:rsidR="00CE3561" w:rsidRPr="00AF6F54">
        <w:rPr>
          <w:rFonts w:ascii="Times New Roman" w:eastAsiaTheme="minorEastAsia" w:hAnsi="Times New Roman" w:cs="Times New Roman"/>
          <w:sz w:val="24"/>
          <w:szCs w:val="24"/>
          <w:lang w:val="sr-Cyrl-BA"/>
        </w:rPr>
        <w:t>еврозоне</w:t>
      </w:r>
      <w:r w:rsidRPr="00AF6F54">
        <w:rPr>
          <w:rFonts w:ascii="Times New Roman" w:eastAsiaTheme="minorEastAsia" w:hAnsi="Times New Roman" w:cs="Times New Roman"/>
          <w:sz w:val="24"/>
          <w:szCs w:val="24"/>
        </w:rPr>
        <w:t xml:space="preserve"> и Црну Гору. За компилацију номиналног и реалног ефективног курса користе се билатерални курс домаће валуте према валутама релевантних трговинских партнера, при чему је 201</w:t>
      </w:r>
      <w:r w:rsidR="00E30007" w:rsidRPr="00AF6F54">
        <w:rPr>
          <w:rFonts w:ascii="Times New Roman" w:eastAsiaTheme="minorEastAsia" w:hAnsi="Times New Roman" w:cs="Times New Roman"/>
          <w:sz w:val="24"/>
          <w:szCs w:val="24"/>
        </w:rPr>
        <w:t>5. година базни период (тј. 2015</w:t>
      </w:r>
      <w:r w:rsidRPr="00AF6F54">
        <w:rPr>
          <w:rFonts w:ascii="Times New Roman" w:eastAsiaTheme="minorEastAsia" w:hAnsi="Times New Roman" w:cs="Times New Roman"/>
          <w:sz w:val="24"/>
          <w:szCs w:val="24"/>
        </w:rPr>
        <w:t>=100).</w:t>
      </w:r>
    </w:p>
    <w:p w:rsidR="00073CBC" w:rsidRPr="00AF6F54" w:rsidRDefault="0003749C" w:rsidP="00073CBC">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У смислу тумачења индекса, повећање представља апрецијацију, док смањење значи депрецијацију.</w:t>
      </w:r>
      <w:r w:rsidR="00D201E0" w:rsidRPr="00AF6F54">
        <w:rPr>
          <w:rFonts w:ascii="Times New Roman" w:eastAsiaTheme="minorEastAsia" w:hAnsi="Times New Roman" w:cs="Times New Roman"/>
          <w:sz w:val="24"/>
          <w:szCs w:val="24"/>
        </w:rPr>
        <w:t xml:space="preserve"> Дакле, сви билатерални курсеви су изражени као вриједност домаће валуте по јединици стране валуте (на примјер </w:t>
      </w:r>
      <w:r w:rsidR="001434EE" w:rsidRPr="00AF6F54">
        <w:rPr>
          <w:rFonts w:ascii="Times New Roman" w:eastAsiaTheme="minorEastAsia" w:hAnsi="Times New Roman" w:cs="Times New Roman"/>
          <w:sz w:val="24"/>
          <w:szCs w:val="24"/>
        </w:rPr>
        <w:t>1 KM</w:t>
      </w:r>
      <w:r w:rsidR="00073CBC" w:rsidRPr="00AF6F54">
        <w:rPr>
          <w:rFonts w:ascii="Times New Roman" w:eastAsiaTheme="minorEastAsia" w:hAnsi="Times New Roman" w:cs="Times New Roman"/>
          <w:sz w:val="24"/>
          <w:szCs w:val="24"/>
        </w:rPr>
        <w:t>=0.511 EUR).</w:t>
      </w:r>
    </w:p>
    <w:p w:rsidR="00073CBC" w:rsidRPr="00AF6F54" w:rsidRDefault="00D201E0" w:rsidP="00073CBC">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ЦББиХ је извор мјесечних билатералн</w:t>
      </w:r>
      <w:r w:rsidR="00CE3561" w:rsidRPr="00AF6F54">
        <w:rPr>
          <w:rFonts w:ascii="Times New Roman" w:eastAsiaTheme="minorEastAsia" w:hAnsi="Times New Roman" w:cs="Times New Roman"/>
          <w:sz w:val="24"/>
          <w:szCs w:val="24"/>
          <w:lang w:val="sr-Cyrl-BA"/>
        </w:rPr>
        <w:t>их</w:t>
      </w:r>
      <w:r w:rsidRPr="00AF6F54">
        <w:rPr>
          <w:rFonts w:ascii="Times New Roman" w:eastAsiaTheme="minorEastAsia" w:hAnsi="Times New Roman" w:cs="Times New Roman"/>
          <w:sz w:val="24"/>
          <w:szCs w:val="24"/>
        </w:rPr>
        <w:t xml:space="preserve"> курсева, гдје су мјесечни подаци агрегирани помоћу геометријског просјека дневних курсева.</w:t>
      </w:r>
    </w:p>
    <w:p w:rsidR="001434EE" w:rsidRPr="00AF6F54" w:rsidRDefault="00D201E0" w:rsidP="002B4405">
      <w:pPr>
        <w:pStyle w:val="Heading2"/>
        <w:ind w:firstLine="360"/>
        <w:rPr>
          <w:lang w:val="bs-Latn-BA"/>
        </w:rPr>
      </w:pPr>
      <w:r w:rsidRPr="00AF6F54">
        <w:rPr>
          <w:lang w:val="bs-Latn-BA"/>
        </w:rPr>
        <w:t>Тумачење индекса</w:t>
      </w:r>
    </w:p>
    <w:p w:rsidR="002B4405" w:rsidRPr="00AF6F54" w:rsidRDefault="00D201E0" w:rsidP="002B4405">
      <w:pPr>
        <w:spacing w:after="200" w:line="276" w:lineRule="auto"/>
        <w:jc w:val="both"/>
        <w:rPr>
          <w:rFonts w:ascii="Times New Roman" w:hAnsi="Times New Roman" w:cs="Times New Roman"/>
          <w:sz w:val="24"/>
        </w:rPr>
      </w:pPr>
      <w:r w:rsidRPr="00AF6F54">
        <w:rPr>
          <w:rFonts w:ascii="Times New Roman" w:eastAsiaTheme="minorEastAsia" w:hAnsi="Times New Roman" w:cs="Times New Roman"/>
          <w:sz w:val="24"/>
          <w:szCs w:val="24"/>
        </w:rPr>
        <w:t xml:space="preserve">Повећање </w:t>
      </w:r>
      <w:r w:rsidR="002B4405" w:rsidRPr="00AF6F54">
        <w:rPr>
          <w:rFonts w:ascii="Times New Roman" w:hAnsi="Times New Roman" w:cs="Times New Roman"/>
          <w:sz w:val="24"/>
          <w:szCs w:val="24"/>
        </w:rPr>
        <w:t xml:space="preserve">NEER </w:t>
      </w:r>
      <w:r w:rsidRPr="00AF6F54">
        <w:rPr>
          <w:rFonts w:ascii="Times New Roman" w:hAnsi="Times New Roman" w:cs="Times New Roman"/>
          <w:sz w:val="24"/>
          <w:szCs w:val="24"/>
        </w:rPr>
        <w:t xml:space="preserve">је одраз апрецијације домаће валуте </w:t>
      </w:r>
      <w:r w:rsidR="002B4405" w:rsidRPr="00AF6F54">
        <w:rPr>
          <w:rFonts w:ascii="Times New Roman" w:eastAsiaTheme="minorEastAsia" w:hAnsi="Times New Roman" w:cs="Times New Roman"/>
          <w:sz w:val="24"/>
          <w:szCs w:val="24"/>
        </w:rPr>
        <w:t xml:space="preserve">(KM) </w:t>
      </w:r>
      <w:r w:rsidRPr="00AF6F54">
        <w:rPr>
          <w:rFonts w:ascii="Times New Roman" w:eastAsiaTheme="minorEastAsia" w:hAnsi="Times New Roman" w:cs="Times New Roman"/>
          <w:sz w:val="24"/>
          <w:szCs w:val="24"/>
        </w:rPr>
        <w:t xml:space="preserve">у односу на пондерисану корпу валута најзначајнијих трговинских партнера, док је смањивање </w:t>
      </w:r>
      <w:r w:rsidR="002B4405" w:rsidRPr="00AF6F54">
        <w:rPr>
          <w:rFonts w:ascii="Times New Roman" w:hAnsi="Times New Roman" w:cs="Times New Roman"/>
          <w:sz w:val="24"/>
          <w:szCs w:val="24"/>
        </w:rPr>
        <w:t xml:space="preserve">NEER </w:t>
      </w:r>
      <w:r w:rsidRPr="00AF6F54">
        <w:rPr>
          <w:rFonts w:ascii="Times New Roman" w:hAnsi="Times New Roman" w:cs="Times New Roman"/>
          <w:sz w:val="24"/>
          <w:szCs w:val="24"/>
        </w:rPr>
        <w:t xml:space="preserve">одраз депрецијације </w:t>
      </w:r>
      <w:r w:rsidR="002B4405" w:rsidRPr="00AF6F54">
        <w:rPr>
          <w:rFonts w:ascii="Times New Roman" w:hAnsi="Times New Roman" w:cs="Times New Roman"/>
          <w:sz w:val="24"/>
          <w:szCs w:val="24"/>
        </w:rPr>
        <w:t>KM.</w:t>
      </w:r>
      <w:r w:rsidR="002B4405" w:rsidRPr="00AF6F54">
        <w:rPr>
          <w:rFonts w:ascii="Times New Roman" w:hAnsi="Times New Roman" w:cs="Times New Roman"/>
          <w:sz w:val="24"/>
        </w:rPr>
        <w:t xml:space="preserve"> </w:t>
      </w:r>
    </w:p>
    <w:p w:rsidR="002B4405" w:rsidRPr="00AF6F54" w:rsidRDefault="002B4405" w:rsidP="002B4405">
      <w:pPr>
        <w:spacing w:after="200" w:line="276" w:lineRule="auto"/>
        <w:jc w:val="both"/>
        <w:rPr>
          <w:rFonts w:ascii="Times New Roman" w:hAnsi="Times New Roman" w:cs="Times New Roman"/>
          <w:sz w:val="24"/>
        </w:rPr>
      </w:pPr>
    </w:p>
    <w:p w:rsidR="002B4405" w:rsidRPr="00AF6F54" w:rsidRDefault="00D201E0" w:rsidP="002B4405">
      <w:pPr>
        <w:pStyle w:val="Heading1"/>
        <w:rPr>
          <w:lang w:val="bs-Latn-BA"/>
        </w:rPr>
      </w:pPr>
      <w:r w:rsidRPr="00AF6F54">
        <w:rPr>
          <w:lang w:val="bs-Latn-BA"/>
        </w:rPr>
        <w:t xml:space="preserve">Реални ефективни курс </w:t>
      </w:r>
      <w:r w:rsidR="002B4405" w:rsidRPr="00AF6F54">
        <w:rPr>
          <w:lang w:val="bs-Latn-BA"/>
        </w:rPr>
        <w:t>(REER)</w:t>
      </w:r>
    </w:p>
    <w:p w:rsidR="002B4405" w:rsidRPr="00AF6F54" w:rsidRDefault="00DD0D0C" w:rsidP="002B4405">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Реални ефективни курс служи као индикатор међународне цјеновне и трошковне конкурентности. Промјене у цјеновној и трошковној конкурентности не зависе </w:t>
      </w:r>
      <w:r w:rsidR="0003749C" w:rsidRPr="00AF6F54">
        <w:rPr>
          <w:rFonts w:ascii="Times New Roman" w:eastAsiaTheme="minorEastAsia" w:hAnsi="Times New Roman" w:cs="Times New Roman"/>
          <w:sz w:val="24"/>
          <w:szCs w:val="24"/>
        </w:rPr>
        <w:t xml:space="preserve">само </w:t>
      </w:r>
      <w:r w:rsidRPr="00AF6F54">
        <w:rPr>
          <w:rFonts w:ascii="Times New Roman" w:eastAsiaTheme="minorEastAsia" w:hAnsi="Times New Roman" w:cs="Times New Roman"/>
          <w:sz w:val="24"/>
          <w:szCs w:val="24"/>
        </w:rPr>
        <w:t>о</w:t>
      </w:r>
      <w:r w:rsidR="00086BF4" w:rsidRPr="00AF6F54">
        <w:rPr>
          <w:rFonts w:ascii="Times New Roman" w:eastAsiaTheme="minorEastAsia" w:hAnsi="Times New Roman" w:cs="Times New Roman"/>
          <w:sz w:val="24"/>
          <w:szCs w:val="24"/>
        </w:rPr>
        <w:t>д кретање курса, већ и од трендa</w:t>
      </w:r>
      <w:r w:rsidRPr="00AF6F54">
        <w:rPr>
          <w:rFonts w:ascii="Times New Roman" w:eastAsiaTheme="minorEastAsia" w:hAnsi="Times New Roman" w:cs="Times New Roman"/>
          <w:sz w:val="24"/>
          <w:szCs w:val="24"/>
        </w:rPr>
        <w:t xml:space="preserve"> кретања цијена и трошкова. Познато је да је реални ефективни курс </w:t>
      </w:r>
      <w:r w:rsidR="002B4405" w:rsidRPr="00AF6F54">
        <w:rPr>
          <w:rFonts w:ascii="Times New Roman" w:eastAsiaTheme="minorEastAsia" w:hAnsi="Times New Roman" w:cs="Times New Roman"/>
          <w:sz w:val="24"/>
          <w:szCs w:val="24"/>
        </w:rPr>
        <w:t>(R</w:t>
      </w:r>
      <w:r w:rsidR="009327AE" w:rsidRPr="00AF6F54">
        <w:rPr>
          <w:rFonts w:ascii="Times New Roman" w:eastAsiaTheme="minorEastAsia" w:hAnsi="Times New Roman" w:cs="Times New Roman"/>
          <w:sz w:val="24"/>
          <w:szCs w:val="24"/>
        </w:rPr>
        <w:t xml:space="preserve">EER), </w:t>
      </w:r>
      <w:r w:rsidRPr="00AF6F54">
        <w:rPr>
          <w:rFonts w:ascii="Times New Roman" w:eastAsiaTheme="minorEastAsia" w:hAnsi="Times New Roman" w:cs="Times New Roman"/>
          <w:sz w:val="24"/>
          <w:szCs w:val="24"/>
        </w:rPr>
        <w:t>а не билатерални номинални курс, боља мјера за проучавање конкурентности извозих предузећа на глобалном тржишту.</w:t>
      </w:r>
    </w:p>
    <w:p w:rsidR="009327AE" w:rsidRPr="00AF6F54" w:rsidRDefault="003D6368" w:rsidP="002B4405">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REER </w:t>
      </w:r>
      <w:r w:rsidR="00DD0D0C" w:rsidRPr="00AF6F54">
        <w:rPr>
          <w:rFonts w:ascii="Times New Roman" w:eastAsiaTheme="minorEastAsia" w:hAnsi="Times New Roman" w:cs="Times New Roman"/>
          <w:sz w:val="24"/>
          <w:szCs w:val="24"/>
        </w:rPr>
        <w:t>се рачуна као геометријски пондерисани просјек билатералних номинални</w:t>
      </w:r>
      <w:r w:rsidR="0077386A" w:rsidRPr="00AF6F54">
        <w:rPr>
          <w:rFonts w:ascii="Times New Roman" w:eastAsiaTheme="minorEastAsia" w:hAnsi="Times New Roman" w:cs="Times New Roman"/>
          <w:sz w:val="24"/>
          <w:szCs w:val="24"/>
        </w:rPr>
        <w:t>х курсева који су дефлационирани</w:t>
      </w:r>
      <w:r w:rsidR="00DD0D0C" w:rsidRPr="00AF6F54">
        <w:rPr>
          <w:rFonts w:ascii="Times New Roman" w:eastAsiaTheme="minorEastAsia" w:hAnsi="Times New Roman" w:cs="Times New Roman"/>
          <w:sz w:val="24"/>
          <w:szCs w:val="24"/>
        </w:rPr>
        <w:t xml:space="preserve"> помоћу релативних цијена, гдје је кретање индекса засновано на два </w:t>
      </w:r>
      <w:r w:rsidR="0003749C" w:rsidRPr="00AF6F54">
        <w:rPr>
          <w:rFonts w:ascii="Times New Roman" w:eastAsiaTheme="minorEastAsia" w:hAnsi="Times New Roman" w:cs="Times New Roman"/>
          <w:sz w:val="24"/>
          <w:szCs w:val="24"/>
        </w:rPr>
        <w:t>индекса (индекс потрошачких цијена (e</w:t>
      </w:r>
      <w:r w:rsidR="0077386A" w:rsidRPr="00AF6F54">
        <w:rPr>
          <w:rFonts w:ascii="Times New Roman" w:eastAsiaTheme="minorEastAsia" w:hAnsi="Times New Roman" w:cs="Times New Roman"/>
          <w:sz w:val="24"/>
          <w:szCs w:val="24"/>
          <w:lang w:val="sr-Cyrl-BA"/>
        </w:rPr>
        <w:t>нгл</w:t>
      </w:r>
      <w:r w:rsidR="0003749C" w:rsidRPr="00AF6F54">
        <w:rPr>
          <w:rFonts w:ascii="Times New Roman" w:eastAsiaTheme="minorEastAsia" w:hAnsi="Times New Roman" w:cs="Times New Roman"/>
          <w:sz w:val="24"/>
          <w:szCs w:val="24"/>
        </w:rPr>
        <w:t>. Consumer Price Index – CPI), индекс цијене произвођачких цијена индустрије (e</w:t>
      </w:r>
      <w:r w:rsidR="0077386A" w:rsidRPr="00AF6F54">
        <w:rPr>
          <w:rFonts w:ascii="Times New Roman" w:eastAsiaTheme="minorEastAsia" w:hAnsi="Times New Roman" w:cs="Times New Roman"/>
          <w:sz w:val="24"/>
          <w:szCs w:val="24"/>
          <w:lang w:val="sr-Cyrl-BA"/>
        </w:rPr>
        <w:t>нгл</w:t>
      </w:r>
      <w:r w:rsidR="0003749C" w:rsidRPr="00AF6F54">
        <w:rPr>
          <w:rFonts w:ascii="Times New Roman" w:eastAsiaTheme="minorEastAsia" w:hAnsi="Times New Roman" w:cs="Times New Roman"/>
          <w:sz w:val="24"/>
          <w:szCs w:val="24"/>
        </w:rPr>
        <w:t>. Producer Price Index – PPI)).</w:t>
      </w:r>
      <w:r w:rsidR="00DD0D0C" w:rsidRPr="00AF6F54">
        <w:rPr>
          <w:rFonts w:ascii="Times New Roman" w:eastAsiaTheme="minorEastAsia" w:hAnsi="Times New Roman" w:cs="Times New Roman"/>
          <w:sz w:val="24"/>
          <w:szCs w:val="24"/>
        </w:rPr>
        <w:t xml:space="preserve"> </w:t>
      </w:r>
    </w:p>
    <w:p w:rsidR="000A0254" w:rsidRPr="00AF6F54" w:rsidRDefault="00DD0D0C" w:rsidP="000A0254">
      <w:pPr>
        <w:pStyle w:val="Heading2"/>
        <w:ind w:firstLine="360"/>
        <w:rPr>
          <w:lang w:val="bs-Latn-BA"/>
        </w:rPr>
      </w:pPr>
      <w:r w:rsidRPr="00AF6F54">
        <w:rPr>
          <w:lang w:val="bs-Latn-BA"/>
        </w:rPr>
        <w:t>Метод израчуна</w:t>
      </w:r>
    </w:p>
    <w:p w:rsidR="000A0254" w:rsidRPr="00AF6F54" w:rsidRDefault="00AF6F54" w:rsidP="002B4405">
      <w:pPr>
        <w:spacing w:after="200" w:line="276" w:lineRule="auto"/>
        <w:jc w:val="both"/>
        <w:rPr>
          <w:rFonts w:ascii="Times New Roman" w:eastAsiaTheme="minorEastAsia" w:hAnsi="Times New Roman" w:cs="Times New Roman"/>
          <w:sz w:val="24"/>
          <w:szCs w:val="24"/>
        </w:rPr>
      </w:pPr>
      <m:oMathPara>
        <m:oMath>
          <m:sSup>
            <m:sSupPr>
              <m:ctrlPr>
                <w:rPr>
                  <w:rFonts w:ascii="Cambria Math" w:hAnsi="Cambria Math"/>
                  <w:i/>
                  <w:sz w:val="24"/>
                </w:rPr>
              </m:ctrlPr>
            </m:sSupPr>
            <m:e>
              <m:r>
                <w:rPr>
                  <w:rFonts w:ascii="Cambria Math" w:hAnsi="Cambria Math"/>
                  <w:sz w:val="24"/>
                </w:rPr>
                <m:t>REER</m:t>
              </m:r>
            </m:e>
            <m:sup>
              <m:r>
                <w:rPr>
                  <w:rFonts w:ascii="Cambria Math" w:hAnsi="Cambria Math"/>
                  <w:sz w:val="24"/>
                </w:rPr>
                <m:t>t</m:t>
              </m:r>
            </m:sup>
          </m:sSup>
          <m:r>
            <w:rPr>
              <w:rFonts w:ascii="Cambria Math" w:hAnsi="Cambria Math"/>
              <w:sz w:val="24"/>
            </w:rPr>
            <m:t xml:space="preserve">= </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d</m:t>
                              </m:r>
                            </m:e>
                            <m:sub>
                              <m:r>
                                <w:rPr>
                                  <w:rFonts w:ascii="Cambria Math" w:hAnsi="Cambria Math"/>
                                  <w:sz w:val="24"/>
                                </w:rPr>
                                <m:t>KM</m:t>
                              </m:r>
                            </m:sub>
                            <m:sup>
                              <m:r>
                                <w:rPr>
                                  <w:rFonts w:ascii="Cambria Math" w:hAnsi="Cambria Math"/>
                                  <w:sz w:val="24"/>
                                </w:rPr>
                                <m:t>t</m:t>
                              </m:r>
                            </m:sup>
                          </m:sSubSup>
                          <m:sSubSup>
                            <m:sSubSupPr>
                              <m:ctrlPr>
                                <w:rPr>
                                  <w:rFonts w:ascii="Cambria Math" w:hAnsi="Cambria Math"/>
                                  <w:i/>
                                  <w:sz w:val="24"/>
                                </w:rPr>
                              </m:ctrlPr>
                            </m:sSubSupPr>
                            <m:e>
                              <m:r>
                                <w:rPr>
                                  <w:rFonts w:ascii="Cambria Math" w:hAnsi="Cambria Math"/>
                                  <w:sz w:val="24"/>
                                </w:rPr>
                                <m:t>e</m:t>
                              </m:r>
                            </m:e>
                            <m:sub>
                              <m:r>
                                <w:rPr>
                                  <w:rFonts w:ascii="Cambria Math" w:hAnsi="Cambria Math"/>
                                  <w:sz w:val="24"/>
                                </w:rPr>
                                <m:t>i, KM</m:t>
                              </m:r>
                            </m:sub>
                            <m:sup>
                              <m:r>
                                <w:rPr>
                                  <w:rFonts w:ascii="Cambria Math" w:hAnsi="Cambria Math"/>
                                  <w:sz w:val="24"/>
                                </w:rPr>
                                <m:t>t</m:t>
                              </m:r>
                            </m:sup>
                          </m:sSubSup>
                        </m:num>
                        <m:den>
                          <m:sSubSup>
                            <m:sSubSupPr>
                              <m:ctrlPr>
                                <w:rPr>
                                  <w:rFonts w:ascii="Cambria Math" w:hAnsi="Cambria Math"/>
                                  <w:i/>
                                  <w:sz w:val="24"/>
                                </w:rPr>
                              </m:ctrlPr>
                            </m:sSubSupPr>
                            <m:e>
                              <m:r>
                                <w:rPr>
                                  <w:rFonts w:ascii="Cambria Math" w:hAnsi="Cambria Math"/>
                                  <w:sz w:val="24"/>
                                </w:rPr>
                                <m:t>d</m:t>
                              </m:r>
                            </m:e>
                            <m:sub>
                              <m:r>
                                <w:rPr>
                                  <w:rFonts w:ascii="Cambria Math" w:hAnsi="Cambria Math"/>
                                  <w:sz w:val="24"/>
                                </w:rPr>
                                <m:t>i</m:t>
                              </m:r>
                            </m:sub>
                            <m:sup>
                              <m:r>
                                <w:rPr>
                                  <w:rFonts w:ascii="Cambria Math" w:hAnsi="Cambria Math"/>
                                  <w:sz w:val="24"/>
                                </w:rPr>
                                <m:t>t</m:t>
                              </m:r>
                            </m:sup>
                          </m:sSubSup>
                        </m:den>
                      </m:f>
                    </m:e>
                  </m:d>
                </m:e>
                <m:sup>
                  <m:sSub>
                    <m:sSubPr>
                      <m:ctrlPr>
                        <w:rPr>
                          <w:rFonts w:ascii="Cambria Math" w:hAnsi="Cambria Math"/>
                          <w:i/>
                          <w:sz w:val="24"/>
                        </w:rPr>
                      </m:ctrlPr>
                    </m:sSubPr>
                    <m:e>
                      <m:r>
                        <w:rPr>
                          <w:rFonts w:ascii="Cambria Math" w:hAnsi="Cambria Math"/>
                          <w:sz w:val="24"/>
                        </w:rPr>
                        <m:t>w</m:t>
                      </m:r>
                    </m:e>
                    <m:sub>
                      <m:r>
                        <w:rPr>
                          <w:rFonts w:ascii="Cambria Math" w:hAnsi="Cambria Math"/>
                          <w:sz w:val="24"/>
                        </w:rPr>
                        <m:t>i</m:t>
                      </m:r>
                    </m:sub>
                  </m:sSub>
                </m:sup>
              </m:sSup>
            </m:e>
          </m:nary>
        </m:oMath>
      </m:oMathPara>
    </w:p>
    <w:p w:rsidR="000A0254" w:rsidRPr="00AF6F54" w:rsidRDefault="00DD0D0C">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Гдје </w:t>
      </w:r>
      <w:r w:rsidR="000A0254" w:rsidRPr="00AF6F54">
        <w:rPr>
          <w:rFonts w:ascii="Times New Roman" w:eastAsiaTheme="minorEastAsia" w:hAnsi="Times New Roman" w:cs="Times New Roman"/>
          <w:sz w:val="24"/>
          <w:szCs w:val="24"/>
        </w:rPr>
        <w:t xml:space="preserve">N </w:t>
      </w:r>
      <w:r w:rsidRPr="00AF6F54">
        <w:rPr>
          <w:rFonts w:ascii="Times New Roman" w:eastAsiaTheme="minorEastAsia" w:hAnsi="Times New Roman" w:cs="Times New Roman"/>
          <w:sz w:val="24"/>
          <w:szCs w:val="24"/>
        </w:rPr>
        <w:t>представља број земаља конкурен</w:t>
      </w:r>
      <w:r w:rsidR="0077386A" w:rsidRPr="00AF6F54">
        <w:rPr>
          <w:rFonts w:ascii="Times New Roman" w:eastAsiaTheme="minorEastAsia" w:hAnsi="Times New Roman" w:cs="Times New Roman"/>
          <w:sz w:val="24"/>
          <w:szCs w:val="24"/>
          <w:lang w:val="sr-Cyrl-BA"/>
        </w:rPr>
        <w:t>а</w:t>
      </w:r>
      <w:r w:rsidRPr="00AF6F54">
        <w:rPr>
          <w:rFonts w:ascii="Times New Roman" w:eastAsiaTheme="minorEastAsia" w:hAnsi="Times New Roman" w:cs="Times New Roman"/>
          <w:sz w:val="24"/>
          <w:szCs w:val="24"/>
        </w:rPr>
        <w:t>та у референтној групи трговинских партнера,</w:t>
      </w:r>
      <w:r w:rsidR="000A0254" w:rsidRPr="00AF6F54">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i, KM</m:t>
            </m:r>
          </m:sub>
          <m:sup>
            <m:r>
              <w:rPr>
                <w:rFonts w:ascii="Cambria Math" w:hAnsi="Cambria Math" w:cs="Times New Roman"/>
                <w:sz w:val="24"/>
                <w:szCs w:val="24"/>
              </w:rPr>
              <m:t>t</m:t>
            </m:r>
          </m:sup>
        </m:sSubSup>
      </m:oMath>
      <w:r w:rsidR="000A0254" w:rsidRPr="00AF6F54">
        <w:rPr>
          <w:rFonts w:ascii="Times New Roman" w:eastAsiaTheme="minorEastAsia" w:hAnsi="Times New Roman" w:cs="Times New Roman"/>
          <w:sz w:val="24"/>
          <w:szCs w:val="24"/>
        </w:rPr>
        <w:t xml:space="preserve"> </w:t>
      </w:r>
      <w:r w:rsidR="00CE6A91" w:rsidRPr="00AF6F54">
        <w:rPr>
          <w:rFonts w:ascii="Times New Roman" w:eastAsiaTheme="minorEastAsia" w:hAnsi="Times New Roman" w:cs="Times New Roman"/>
          <w:sz w:val="24"/>
          <w:szCs w:val="24"/>
        </w:rPr>
        <w:t>представља индекс просјечног курса валуте земље партнера</w:t>
      </w:r>
      <w:r w:rsidR="000A0254" w:rsidRPr="00AF6F54">
        <w:rPr>
          <w:rFonts w:ascii="Times New Roman" w:eastAsiaTheme="minorEastAsia" w:hAnsi="Times New Roman" w:cs="Times New Roman"/>
          <w:sz w:val="24"/>
          <w:szCs w:val="24"/>
        </w:rPr>
        <w:t xml:space="preserve"> </w:t>
      </w:r>
      <w:r w:rsidR="000A0254" w:rsidRPr="00AF6F54">
        <w:rPr>
          <w:rFonts w:ascii="Times New Roman" w:eastAsiaTheme="minorEastAsia" w:hAnsi="Times New Roman" w:cs="Times New Roman"/>
          <w:i/>
          <w:sz w:val="24"/>
          <w:szCs w:val="24"/>
        </w:rPr>
        <w:t xml:space="preserve">i </w:t>
      </w:r>
      <w:r w:rsidR="0077386A" w:rsidRPr="00AF6F54">
        <w:rPr>
          <w:rFonts w:ascii="Times New Roman" w:eastAsiaTheme="minorEastAsia" w:hAnsi="Times New Roman" w:cs="Times New Roman"/>
          <w:sz w:val="24"/>
          <w:szCs w:val="24"/>
        </w:rPr>
        <w:t>vis</w:t>
      </w:r>
      <w:r w:rsidR="00CE6A91" w:rsidRPr="00AF6F54">
        <w:rPr>
          <w:rFonts w:ascii="Times New Roman" w:eastAsiaTheme="minorEastAsia" w:hAnsi="Times New Roman" w:cs="Times New Roman"/>
          <w:sz w:val="24"/>
          <w:szCs w:val="24"/>
        </w:rPr>
        <w:t>–à–</w:t>
      </w:r>
      <w:r w:rsidR="0077386A" w:rsidRPr="00AF6F54">
        <w:rPr>
          <w:rFonts w:ascii="Times New Roman" w:eastAsiaTheme="minorEastAsia" w:hAnsi="Times New Roman" w:cs="Times New Roman"/>
          <w:sz w:val="24"/>
          <w:szCs w:val="24"/>
        </w:rPr>
        <w:t>vis</w:t>
      </w:r>
      <w:r w:rsidR="00CE6A91" w:rsidRPr="00AF6F54">
        <w:rPr>
          <w:rFonts w:ascii="Times New Roman" w:eastAsiaTheme="minorEastAsia" w:hAnsi="Times New Roman" w:cs="Times New Roman"/>
          <w:sz w:val="24"/>
          <w:szCs w:val="24"/>
        </w:rPr>
        <w:t xml:space="preserve"> </w:t>
      </w:r>
      <w:r w:rsidR="000A0254" w:rsidRPr="00AF6F54">
        <w:rPr>
          <w:rFonts w:ascii="Times New Roman" w:eastAsiaTheme="minorEastAsia" w:hAnsi="Times New Roman" w:cs="Times New Roman"/>
          <w:sz w:val="24"/>
          <w:szCs w:val="24"/>
        </w:rPr>
        <w:t xml:space="preserve">KM </w:t>
      </w:r>
      <w:r w:rsidR="00CE6A91" w:rsidRPr="00AF6F54">
        <w:rPr>
          <w:rFonts w:ascii="Times New Roman" w:eastAsiaTheme="minorEastAsia" w:hAnsi="Times New Roman" w:cs="Times New Roman"/>
          <w:sz w:val="24"/>
          <w:szCs w:val="24"/>
        </w:rPr>
        <w:t xml:space="preserve">у периоду </w:t>
      </w:r>
      <w:r w:rsidR="000A0254" w:rsidRPr="00AF6F54">
        <w:rPr>
          <w:rFonts w:ascii="Times New Roman" w:eastAsiaTheme="minorEastAsia" w:hAnsi="Times New Roman" w:cs="Times New Roman"/>
          <w:i/>
          <w:sz w:val="24"/>
          <w:szCs w:val="24"/>
        </w:rPr>
        <w:t xml:space="preserve"> t</w:t>
      </w:r>
      <w:r w:rsidR="000A0254" w:rsidRPr="00AF6F54">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KM</m:t>
            </m:r>
          </m:sub>
          <m:sup>
            <m:r>
              <w:rPr>
                <w:rFonts w:ascii="Cambria Math" w:eastAsiaTheme="minorEastAsia" w:hAnsi="Cambria Math" w:cs="Times New Roman"/>
                <w:sz w:val="24"/>
                <w:szCs w:val="24"/>
              </w:rPr>
              <m:t>t</m:t>
            </m:r>
          </m:sup>
        </m:sSubSup>
      </m:oMath>
      <w:r w:rsidR="003803E2" w:rsidRPr="00AF6F54">
        <w:rPr>
          <w:rFonts w:ascii="Times New Roman" w:eastAsiaTheme="minorEastAsia" w:hAnsi="Times New Roman" w:cs="Times New Roman"/>
          <w:sz w:val="24"/>
          <w:szCs w:val="24"/>
        </w:rPr>
        <w:t xml:space="preserve"> </w:t>
      </w:r>
      <w:r w:rsidR="00CE6A91" w:rsidRPr="00AF6F54">
        <w:rPr>
          <w:rFonts w:ascii="Times New Roman" w:eastAsiaTheme="minorEastAsia" w:hAnsi="Times New Roman" w:cs="Times New Roman"/>
          <w:sz w:val="24"/>
          <w:szCs w:val="24"/>
        </w:rPr>
        <w:t>и</w:t>
      </w:r>
      <w:r w:rsidR="003803E2" w:rsidRPr="00AF6F54">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t</m:t>
            </m:r>
          </m:sup>
        </m:sSubSup>
        <m:r>
          <w:rPr>
            <w:rFonts w:ascii="Cambria Math" w:eastAsiaTheme="minorEastAsia" w:hAnsi="Cambria Math" w:cs="Times New Roman"/>
            <w:sz w:val="24"/>
            <w:szCs w:val="24"/>
          </w:rPr>
          <m:t xml:space="preserve"> </m:t>
        </m:r>
      </m:oMath>
      <w:r w:rsidR="00CE6A91" w:rsidRPr="00AF6F54">
        <w:rPr>
          <w:rFonts w:ascii="Times New Roman" w:eastAsiaTheme="minorEastAsia" w:hAnsi="Times New Roman" w:cs="Times New Roman"/>
          <w:sz w:val="24"/>
          <w:szCs w:val="24"/>
        </w:rPr>
        <w:t>представљају дефлаторе са земљом партнер</w:t>
      </w:r>
      <w:r w:rsidR="0077386A" w:rsidRPr="00AF6F54">
        <w:rPr>
          <w:rFonts w:ascii="Times New Roman" w:eastAsiaTheme="minorEastAsia" w:hAnsi="Times New Roman" w:cs="Times New Roman"/>
          <w:sz w:val="24"/>
          <w:szCs w:val="24"/>
          <w:lang w:val="sr-Cyrl-BA"/>
        </w:rPr>
        <w:t>ом</w:t>
      </w:r>
      <w:r w:rsidR="000A0254" w:rsidRPr="00AF6F54">
        <w:rPr>
          <w:rFonts w:ascii="Times New Roman" w:eastAsiaTheme="minorEastAsia" w:hAnsi="Times New Roman" w:cs="Times New Roman"/>
          <w:sz w:val="24"/>
          <w:szCs w:val="24"/>
        </w:rPr>
        <w:t xml:space="preserve"> </w:t>
      </w:r>
      <w:r w:rsidR="000A0254" w:rsidRPr="00AF6F54">
        <w:rPr>
          <w:rFonts w:ascii="Times New Roman" w:eastAsiaTheme="minorEastAsia" w:hAnsi="Times New Roman" w:cs="Times New Roman"/>
          <w:i/>
          <w:sz w:val="24"/>
          <w:szCs w:val="24"/>
        </w:rPr>
        <w:t>i</w:t>
      </w:r>
      <w:r w:rsidR="000A0254" w:rsidRPr="00AF6F54">
        <w:rPr>
          <w:rFonts w:ascii="Times New Roman" w:eastAsiaTheme="minorEastAsia" w:hAnsi="Times New Roman" w:cs="Times New Roman"/>
          <w:sz w:val="24"/>
          <w:szCs w:val="24"/>
        </w:rPr>
        <w:t xml:space="preserve">,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w:r w:rsidR="00CE6A91" w:rsidRPr="00AF6F54">
        <w:rPr>
          <w:rFonts w:ascii="Times New Roman" w:eastAsiaTheme="minorEastAsia" w:hAnsi="Times New Roman" w:cs="Times New Roman"/>
          <w:sz w:val="24"/>
          <w:szCs w:val="24"/>
        </w:rPr>
        <w:t xml:space="preserve">представља трговински пондер додијељен валути трговински партнер </w:t>
      </w:r>
      <w:r w:rsidR="000A0254" w:rsidRPr="00AF6F54">
        <w:rPr>
          <w:rFonts w:ascii="Times New Roman" w:eastAsiaTheme="minorEastAsia" w:hAnsi="Times New Roman" w:cs="Times New Roman"/>
          <w:i/>
          <w:sz w:val="24"/>
          <w:szCs w:val="24"/>
        </w:rPr>
        <w:t>i</w:t>
      </w:r>
      <w:r w:rsidR="000A0254" w:rsidRPr="00AF6F54">
        <w:rPr>
          <w:rFonts w:ascii="Times New Roman" w:eastAsiaTheme="minorEastAsia" w:hAnsi="Times New Roman" w:cs="Times New Roman"/>
          <w:sz w:val="24"/>
          <w:szCs w:val="24"/>
        </w:rPr>
        <w:t>.</w:t>
      </w:r>
    </w:p>
    <w:p w:rsidR="003D6368" w:rsidRPr="00AF6F54" w:rsidRDefault="003D6368">
      <w:pPr>
        <w:spacing w:after="200" w:line="276" w:lineRule="auto"/>
        <w:jc w:val="both"/>
        <w:rPr>
          <w:rFonts w:ascii="Times New Roman" w:eastAsiaTheme="minorEastAsia" w:hAnsi="Times New Roman" w:cs="Times New Roman"/>
          <w:sz w:val="24"/>
          <w:szCs w:val="24"/>
        </w:rPr>
      </w:pPr>
    </w:p>
    <w:p w:rsidR="00970AC4" w:rsidRPr="00AF6F54" w:rsidRDefault="006A33B7" w:rsidP="00970AC4">
      <w:pPr>
        <w:pStyle w:val="Heading2"/>
        <w:ind w:firstLine="360"/>
        <w:rPr>
          <w:lang w:val="bs-Latn-BA"/>
        </w:rPr>
      </w:pPr>
      <w:r w:rsidRPr="00AF6F54">
        <w:rPr>
          <w:lang w:val="bs-Latn-BA"/>
        </w:rPr>
        <w:lastRenderedPageBreak/>
        <w:t>Одабир дефлатора</w:t>
      </w:r>
    </w:p>
    <w:p w:rsidR="00970AC4" w:rsidRPr="00AF6F54" w:rsidRDefault="006A33B7" w:rsidP="00970AC4">
      <w:pPr>
        <w:pStyle w:val="Heading3"/>
        <w:ind w:left="708" w:firstLine="708"/>
        <w:rPr>
          <w:lang w:val="bs-Latn-BA"/>
        </w:rPr>
      </w:pPr>
      <w:r w:rsidRPr="00AF6F54">
        <w:rPr>
          <w:lang w:val="bs-Latn-BA"/>
        </w:rPr>
        <w:t xml:space="preserve">Потрошачке цијене </w:t>
      </w:r>
      <w:r w:rsidR="00970AC4" w:rsidRPr="00AF6F54">
        <w:rPr>
          <w:lang w:val="bs-Latn-BA"/>
        </w:rPr>
        <w:t>– CPI</w:t>
      </w:r>
    </w:p>
    <w:p w:rsidR="006A33B7" w:rsidRPr="00AF6F54" w:rsidRDefault="006A33B7" w:rsidP="00970AC4">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Индекс потрошачких цијена је један од два дефлатора који се користи при израчуну </w:t>
      </w:r>
      <w:r w:rsidR="0077386A" w:rsidRPr="00AF6F54">
        <w:rPr>
          <w:rFonts w:ascii="Times New Roman" w:eastAsiaTheme="minorEastAsia" w:hAnsi="Times New Roman" w:cs="Times New Roman"/>
          <w:sz w:val="24"/>
          <w:szCs w:val="24"/>
        </w:rPr>
        <w:t>REER</w:t>
      </w:r>
      <w:r w:rsidR="00970AC4" w:rsidRPr="00AF6F54">
        <w:rPr>
          <w:rFonts w:ascii="Times New Roman" w:eastAsiaTheme="minorEastAsia" w:hAnsi="Times New Roman" w:cs="Times New Roman"/>
          <w:sz w:val="24"/>
          <w:szCs w:val="24"/>
        </w:rPr>
        <w:t xml:space="preserve">. </w:t>
      </w:r>
      <w:r w:rsidR="0003749C" w:rsidRPr="00AF6F54">
        <w:rPr>
          <w:rFonts w:ascii="Times New Roman" w:eastAsiaTheme="minorEastAsia" w:hAnsi="Times New Roman" w:cs="Times New Roman"/>
          <w:sz w:val="24"/>
          <w:szCs w:val="24"/>
        </w:rPr>
        <w:t>Употреба индекса потрошачких цијена врло је практична, јер је методологија његовог израчуна прилично усклађена међу земљама (јер се рачуна на основу корпе производа), а подаци су релативно брзо доступни за велики број земаља. Међутим, недостатак је у томе што укључује и робу и услуге којима се тргује на међународној размјени, а искључује капитална добра.</w:t>
      </w:r>
    </w:p>
    <w:p w:rsidR="006A33B7" w:rsidRPr="00AF6F54" w:rsidRDefault="00970AC4" w:rsidP="006A33B7">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CPI </w:t>
      </w:r>
      <w:r w:rsidR="0077386A" w:rsidRPr="00AF6F54">
        <w:rPr>
          <w:rFonts w:ascii="Times New Roman" w:eastAsiaTheme="minorEastAsia" w:hAnsi="Times New Roman" w:cs="Times New Roman"/>
          <w:sz w:val="24"/>
          <w:szCs w:val="24"/>
          <w:lang w:val="sr-Cyrl-BA"/>
        </w:rPr>
        <w:t>по</w:t>
      </w:r>
      <w:r w:rsidR="006A33B7" w:rsidRPr="00AF6F54">
        <w:rPr>
          <w:rFonts w:ascii="Times New Roman" w:eastAsiaTheme="minorEastAsia" w:hAnsi="Times New Roman" w:cs="Times New Roman"/>
          <w:sz w:val="24"/>
          <w:szCs w:val="24"/>
        </w:rPr>
        <w:t>даци се преузимају од различитих извора на мјесечном нивоу</w:t>
      </w:r>
      <w:r w:rsidR="00940507" w:rsidRPr="00AF6F54">
        <w:rPr>
          <w:rFonts w:ascii="Times New Roman" w:eastAsiaTheme="minorEastAsia" w:hAnsi="Times New Roman" w:cs="Times New Roman"/>
          <w:sz w:val="24"/>
          <w:szCs w:val="24"/>
        </w:rPr>
        <w:t>,</w:t>
      </w:r>
      <w:r w:rsidR="006A33B7" w:rsidRPr="00AF6F54">
        <w:rPr>
          <w:rFonts w:ascii="Times New Roman" w:eastAsiaTheme="minorEastAsia" w:hAnsi="Times New Roman" w:cs="Times New Roman"/>
          <w:sz w:val="24"/>
          <w:szCs w:val="24"/>
        </w:rPr>
        <w:t xml:space="preserve"> </w:t>
      </w:r>
      <w:r w:rsidR="0003749C" w:rsidRPr="00AF6F54">
        <w:rPr>
          <w:rFonts w:ascii="Times New Roman" w:eastAsiaTheme="minorEastAsia" w:hAnsi="Times New Roman" w:cs="Times New Roman"/>
          <w:sz w:val="24"/>
          <w:szCs w:val="24"/>
        </w:rPr>
        <w:t xml:space="preserve">почевши </w:t>
      </w:r>
      <w:r w:rsidR="006A33B7" w:rsidRPr="00AF6F54">
        <w:rPr>
          <w:rFonts w:ascii="Times New Roman" w:eastAsiaTheme="minorEastAsia" w:hAnsi="Times New Roman" w:cs="Times New Roman"/>
          <w:sz w:val="24"/>
          <w:szCs w:val="24"/>
        </w:rPr>
        <w:t xml:space="preserve">од 2005. године. </w:t>
      </w:r>
      <w:r w:rsidR="00B8463E" w:rsidRPr="00AF6F54">
        <w:rPr>
          <w:rFonts w:ascii="Times New Roman" w:eastAsiaTheme="minorEastAsia" w:hAnsi="Times New Roman" w:cs="Times New Roman"/>
          <w:sz w:val="24"/>
          <w:szCs w:val="24"/>
        </w:rPr>
        <w:t>Податке за Аустрију, Белгију, Чешку, Француску, Холандију, Хрватску, Италију, Мађарску,  Њемачку, Пољску, Румунију, Сједињене Америчке Државе, Сјеверну Македонију, Словенију, Србију, Швајцарску, Турску и Велику Британију објављује Еуростат; податке за Kину и Русију објављује OECD, док податке за Црну Гору објављују национална статистичка институција.</w:t>
      </w:r>
    </w:p>
    <w:p w:rsidR="003803E2" w:rsidRPr="00AF6F54" w:rsidRDefault="006A33B7" w:rsidP="006A33B7">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Податке за Босну и Херцеговину објављује Агенција за статистику Босне и Херцеговине.</w:t>
      </w:r>
    </w:p>
    <w:p w:rsidR="005543CF" w:rsidRPr="00AF6F54" w:rsidRDefault="006A33B7" w:rsidP="005543CF">
      <w:pPr>
        <w:pStyle w:val="Heading3"/>
        <w:ind w:left="708" w:firstLine="708"/>
        <w:rPr>
          <w:lang w:val="bs-Latn-BA"/>
        </w:rPr>
      </w:pPr>
      <w:r w:rsidRPr="00AF6F54">
        <w:rPr>
          <w:lang w:val="bs-Latn-BA"/>
        </w:rPr>
        <w:t>Индекс произвођачких цијена индустрије</w:t>
      </w:r>
      <w:r w:rsidR="005543CF" w:rsidRPr="00AF6F54">
        <w:rPr>
          <w:lang w:val="bs-Latn-BA"/>
        </w:rPr>
        <w:t xml:space="preserve"> – PPI</w:t>
      </w:r>
    </w:p>
    <w:p w:rsidR="00445441" w:rsidRPr="00AF6F54" w:rsidRDefault="00445441" w:rsidP="005543CF">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Индекс произвођачких цијена индустрије мјери бруто мјесечне промјене у цијенама у трговини индустријских производа. Обухваћа већи број производа који </w:t>
      </w:r>
      <w:r w:rsidR="00D474F0" w:rsidRPr="00AF6F54">
        <w:rPr>
          <w:rFonts w:ascii="Times New Roman" w:eastAsiaTheme="minorEastAsia" w:hAnsi="Times New Roman" w:cs="Times New Roman"/>
          <w:sz w:val="24"/>
          <w:szCs w:val="24"/>
        </w:rPr>
        <w:t>учествуј</w:t>
      </w:r>
      <w:r w:rsidRPr="00AF6F54">
        <w:rPr>
          <w:rFonts w:ascii="Times New Roman" w:eastAsiaTheme="minorEastAsia" w:hAnsi="Times New Roman" w:cs="Times New Roman"/>
          <w:sz w:val="24"/>
          <w:szCs w:val="24"/>
        </w:rPr>
        <w:t xml:space="preserve">у у међународној размјени, те је релативно добра замјена за цијене оних производа који </w:t>
      </w:r>
      <w:r w:rsidR="00D474F0" w:rsidRPr="00AF6F54">
        <w:rPr>
          <w:rFonts w:ascii="Times New Roman" w:eastAsiaTheme="minorEastAsia" w:hAnsi="Times New Roman" w:cs="Times New Roman"/>
          <w:sz w:val="24"/>
          <w:szCs w:val="24"/>
        </w:rPr>
        <w:t>учествуј</w:t>
      </w:r>
      <w:r w:rsidRPr="00AF6F54">
        <w:rPr>
          <w:rFonts w:ascii="Times New Roman" w:eastAsiaTheme="minorEastAsia" w:hAnsi="Times New Roman" w:cs="Times New Roman"/>
          <w:sz w:val="24"/>
          <w:szCs w:val="24"/>
        </w:rPr>
        <w:t xml:space="preserve">у у међународној трговини. </w:t>
      </w:r>
      <w:r w:rsidR="0077386A" w:rsidRPr="00AF6F54">
        <w:rPr>
          <w:rFonts w:ascii="Times New Roman" w:eastAsiaTheme="minorEastAsia" w:hAnsi="Times New Roman" w:cs="Times New Roman"/>
          <w:sz w:val="24"/>
          <w:szCs w:val="24"/>
        </w:rPr>
        <w:t>PPI</w:t>
      </w:r>
      <w:r w:rsidRPr="00AF6F54">
        <w:rPr>
          <w:rFonts w:ascii="Times New Roman" w:eastAsiaTheme="minorEastAsia" w:hAnsi="Times New Roman" w:cs="Times New Roman"/>
          <w:sz w:val="24"/>
          <w:szCs w:val="24"/>
        </w:rPr>
        <w:t xml:space="preserve"> мјери цјеновне промјене из перспективе произво</w:t>
      </w:r>
      <w:r w:rsidR="00813F38" w:rsidRPr="00AF6F54">
        <w:rPr>
          <w:rFonts w:ascii="Times New Roman" w:eastAsiaTheme="minorEastAsia" w:hAnsi="Times New Roman" w:cs="Times New Roman"/>
          <w:sz w:val="24"/>
          <w:szCs w:val="24"/>
          <w:lang w:val="sr-Cyrl-BA"/>
        </w:rPr>
        <w:t>ђ</w:t>
      </w:r>
      <w:r w:rsidRPr="00AF6F54">
        <w:rPr>
          <w:rFonts w:ascii="Times New Roman" w:eastAsiaTheme="minorEastAsia" w:hAnsi="Times New Roman" w:cs="Times New Roman"/>
          <w:sz w:val="24"/>
          <w:szCs w:val="24"/>
        </w:rPr>
        <w:t>ача.</w:t>
      </w:r>
    </w:p>
    <w:p w:rsidR="005543CF" w:rsidRPr="00AF6F54" w:rsidRDefault="006A33B7" w:rsidP="005543CF">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Мјесечни </w:t>
      </w:r>
      <w:r w:rsidR="005543CF" w:rsidRPr="00AF6F54">
        <w:rPr>
          <w:rFonts w:ascii="Times New Roman" w:eastAsiaTheme="minorEastAsia" w:hAnsi="Times New Roman" w:cs="Times New Roman"/>
          <w:sz w:val="24"/>
          <w:szCs w:val="24"/>
        </w:rPr>
        <w:t xml:space="preserve">PPI </w:t>
      </w:r>
      <w:r w:rsidR="007E05E0" w:rsidRPr="00AF6F54">
        <w:rPr>
          <w:rFonts w:ascii="Times New Roman" w:eastAsiaTheme="minorEastAsia" w:hAnsi="Times New Roman" w:cs="Times New Roman"/>
          <w:sz w:val="24"/>
          <w:szCs w:val="24"/>
        </w:rPr>
        <w:t xml:space="preserve">подаци, за све трговинске партнере, се користе од 2007. године. </w:t>
      </w:r>
      <w:r w:rsidR="00B8463E" w:rsidRPr="00AF6F54">
        <w:rPr>
          <w:rFonts w:ascii="Times New Roman" w:eastAsiaTheme="minorEastAsia" w:hAnsi="Times New Roman" w:cs="Times New Roman"/>
          <w:sz w:val="24"/>
          <w:szCs w:val="24"/>
        </w:rPr>
        <w:t>За Аустрију, Белгију, Чешку, Француску, Холандију, Хрватску, Италију, Мађарску, Њемачку, Пољску, Румунију, Сјеверну Македонију, Словенију, Србију, Швајцарску и Велику Британију, користе се подаци за укупно тржиште – које објављује Еуростат; за Црну Гору, Турску и Сједињене Америчке Државе користе се подаци за домаће тржиште, а објављују их национални заводи за статистику или друге релеванте агенције, као и подаци за Kину, док се за Русију користе подаци о домаћим произвођачким цијенама које објављује ОЕCD.</w:t>
      </w:r>
    </w:p>
    <w:p w:rsidR="008117E3" w:rsidRPr="00AF6F54" w:rsidRDefault="007E05E0" w:rsidP="005543CF">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За Босну и Херцеговину користе се подаци за индекс произвођачких цијена индустрије на домаћем тржишту коју објављује Агенција за статистику Босне и Херцеговине.</w:t>
      </w:r>
    </w:p>
    <w:p w:rsidR="00C0265E" w:rsidRPr="00AF6F54" w:rsidRDefault="007E05E0" w:rsidP="00C0265E">
      <w:pPr>
        <w:pStyle w:val="Heading2"/>
        <w:ind w:firstLine="360"/>
        <w:rPr>
          <w:lang w:val="bs-Latn-BA"/>
        </w:rPr>
      </w:pPr>
      <w:r w:rsidRPr="00AF6F54">
        <w:rPr>
          <w:lang w:val="bs-Latn-BA"/>
        </w:rPr>
        <w:t>Тумачење индекса</w:t>
      </w:r>
    </w:p>
    <w:p w:rsidR="00F97EE4" w:rsidRPr="00AF6F54" w:rsidRDefault="00F97EE4" w:rsidP="00F97EE4">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Апрецијација индекса REER се тумачи као апрецијација вриједности домаће валуте и може се јавити или као повећање нивоа домаћих цијена или као смањење нивоа иностраних цијена, те доводи до погоршања трговинског биланса земље, јер ће се извоз смањити пошто постаје скупљи, док ће увоз порасти јер ће сада бити релативно јефтиниј</w:t>
      </w:r>
      <w:r w:rsidR="00F94B2A" w:rsidRPr="00AF6F54">
        <w:rPr>
          <w:rFonts w:ascii="Times New Roman" w:eastAsiaTheme="minorEastAsia" w:hAnsi="Times New Roman" w:cs="Times New Roman"/>
          <w:sz w:val="24"/>
          <w:szCs w:val="24"/>
        </w:rPr>
        <w:t>и</w:t>
      </w:r>
      <w:r w:rsidRPr="00AF6F54">
        <w:rPr>
          <w:rFonts w:ascii="Times New Roman" w:eastAsiaTheme="minorEastAsia" w:hAnsi="Times New Roman" w:cs="Times New Roman"/>
          <w:sz w:val="24"/>
          <w:szCs w:val="24"/>
        </w:rPr>
        <w:t>. Стога, пораст индицира губитак у трговинској конкурентности.</w:t>
      </w:r>
    </w:p>
    <w:p w:rsidR="00F97EE4" w:rsidRPr="00AF6F54" w:rsidRDefault="00F97EE4" w:rsidP="00F97EE4">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Смањивање индекса представља депрецијацију вриједности домаће валуте због смањењ</w:t>
      </w:r>
      <w:r w:rsidR="0077386A" w:rsidRPr="00AF6F54">
        <w:rPr>
          <w:rFonts w:ascii="Times New Roman" w:eastAsiaTheme="minorEastAsia" w:hAnsi="Times New Roman" w:cs="Times New Roman"/>
          <w:sz w:val="24"/>
          <w:szCs w:val="24"/>
          <w:lang w:val="sr-Cyrl-BA"/>
        </w:rPr>
        <w:t>а</w:t>
      </w:r>
      <w:r w:rsidRPr="00AF6F54">
        <w:rPr>
          <w:rFonts w:ascii="Times New Roman" w:eastAsiaTheme="minorEastAsia" w:hAnsi="Times New Roman" w:cs="Times New Roman"/>
          <w:sz w:val="24"/>
          <w:szCs w:val="24"/>
        </w:rPr>
        <w:t xml:space="preserve"> нивоа домаћих цијена и пораст</w:t>
      </w:r>
      <w:r w:rsidR="0077386A" w:rsidRPr="00AF6F54">
        <w:rPr>
          <w:rFonts w:ascii="Times New Roman" w:eastAsiaTheme="minorEastAsia" w:hAnsi="Times New Roman" w:cs="Times New Roman"/>
          <w:sz w:val="24"/>
          <w:szCs w:val="24"/>
          <w:lang w:val="sr-Cyrl-BA"/>
        </w:rPr>
        <w:t>а</w:t>
      </w:r>
      <w:r w:rsidRPr="00AF6F54">
        <w:rPr>
          <w:rFonts w:ascii="Times New Roman" w:eastAsiaTheme="minorEastAsia" w:hAnsi="Times New Roman" w:cs="Times New Roman"/>
          <w:sz w:val="24"/>
          <w:szCs w:val="24"/>
        </w:rPr>
        <w:t xml:space="preserve"> </w:t>
      </w:r>
      <w:r w:rsidR="0077386A" w:rsidRPr="00AF6F54">
        <w:rPr>
          <w:rFonts w:ascii="Times New Roman" w:eastAsiaTheme="minorEastAsia" w:hAnsi="Times New Roman" w:cs="Times New Roman"/>
          <w:sz w:val="24"/>
          <w:szCs w:val="24"/>
        </w:rPr>
        <w:t xml:space="preserve">нивоа </w:t>
      </w:r>
      <w:r w:rsidRPr="00AF6F54">
        <w:rPr>
          <w:rFonts w:ascii="Times New Roman" w:eastAsiaTheme="minorEastAsia" w:hAnsi="Times New Roman" w:cs="Times New Roman"/>
          <w:sz w:val="24"/>
          <w:szCs w:val="24"/>
        </w:rPr>
        <w:t>иностраних цијена.</w:t>
      </w:r>
    </w:p>
    <w:p w:rsidR="00191F0C" w:rsidRPr="00AF6F54" w:rsidRDefault="00191F0C" w:rsidP="00191F0C">
      <w:pPr>
        <w:pStyle w:val="Heading1"/>
        <w:rPr>
          <w:lang w:val="bs-Latn-BA"/>
        </w:rPr>
      </w:pPr>
      <w:r w:rsidRPr="00AF6F54">
        <w:rPr>
          <w:lang w:val="bs-Latn-BA"/>
        </w:rPr>
        <w:lastRenderedPageBreak/>
        <w:t>Chain</w:t>
      </w:r>
      <w:r w:rsidR="0077386A" w:rsidRPr="00AF6F54">
        <w:rPr>
          <w:lang w:val="sr-Cyrl-BA"/>
        </w:rPr>
        <w:t xml:space="preserve"> </w:t>
      </w:r>
      <w:r w:rsidRPr="00AF6F54">
        <w:rPr>
          <w:lang w:val="bs-Latn-BA"/>
        </w:rPr>
        <w:t>Linking</w:t>
      </w:r>
      <w:r w:rsidR="0003749C" w:rsidRPr="00AF6F54">
        <w:rPr>
          <w:lang w:val="bs-Latn-BA"/>
        </w:rPr>
        <w:t xml:space="preserve"> (ланчано повезивање)</w:t>
      </w:r>
    </w:p>
    <w:p w:rsidR="0003749C" w:rsidRPr="00AF6F54" w:rsidRDefault="0003749C" w:rsidP="00E146AD">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Као што је већ споменуто, трговински пондери су временски промјењиви и израчунавају се за трогодишње периоде, који се не преклапају. Разлог за употребу пондера који су временски промјењиви јесте да се трендови трговине временом мијењају и индекс с фиксним пондером не може да евидентира дате ефекте, те њихови пондери постану временом неажурни (кори</w:t>
      </w:r>
      <w:r w:rsidR="0004595F" w:rsidRPr="00AF6F54">
        <w:rPr>
          <w:rFonts w:ascii="Times New Roman" w:eastAsiaTheme="minorEastAsia" w:hAnsi="Times New Roman" w:cs="Times New Roman"/>
          <w:sz w:val="24"/>
          <w:szCs w:val="24"/>
          <w:lang w:val="sr-Cyrl-BA"/>
        </w:rPr>
        <w:t>шћење</w:t>
      </w:r>
      <w:r w:rsidRPr="00AF6F54">
        <w:rPr>
          <w:rFonts w:ascii="Times New Roman" w:eastAsiaTheme="minorEastAsia" w:hAnsi="Times New Roman" w:cs="Times New Roman"/>
          <w:sz w:val="24"/>
          <w:szCs w:val="24"/>
        </w:rPr>
        <w:t xml:space="preserve"> фиксн</w:t>
      </w:r>
      <w:r w:rsidR="0004595F" w:rsidRPr="00AF6F54">
        <w:rPr>
          <w:rFonts w:ascii="Times New Roman" w:eastAsiaTheme="minorEastAsia" w:hAnsi="Times New Roman" w:cs="Times New Roman"/>
          <w:sz w:val="24"/>
          <w:szCs w:val="24"/>
          <w:lang w:val="sr-Cyrl-BA"/>
        </w:rPr>
        <w:t>их</w:t>
      </w:r>
      <w:r w:rsidRPr="00AF6F54">
        <w:rPr>
          <w:rFonts w:ascii="Times New Roman" w:eastAsiaTheme="minorEastAsia" w:hAnsi="Times New Roman" w:cs="Times New Roman"/>
          <w:sz w:val="24"/>
          <w:szCs w:val="24"/>
        </w:rPr>
        <w:t xml:space="preserve"> пондер</w:t>
      </w:r>
      <w:r w:rsidR="0004595F" w:rsidRPr="00AF6F54">
        <w:rPr>
          <w:rFonts w:ascii="Times New Roman" w:eastAsiaTheme="minorEastAsia" w:hAnsi="Times New Roman" w:cs="Times New Roman"/>
          <w:sz w:val="24"/>
          <w:szCs w:val="24"/>
          <w:lang w:val="sr-Cyrl-BA"/>
        </w:rPr>
        <w:t>а</w:t>
      </w:r>
      <w:r w:rsidRPr="00AF6F54">
        <w:rPr>
          <w:rFonts w:ascii="Times New Roman" w:eastAsiaTheme="minorEastAsia" w:hAnsi="Times New Roman" w:cs="Times New Roman"/>
          <w:sz w:val="24"/>
          <w:szCs w:val="24"/>
        </w:rPr>
        <w:t xml:space="preserve"> би довело или до прецјењивања одређене земље или до по</w:t>
      </w:r>
      <w:r w:rsidR="002F4708" w:rsidRPr="00AF6F54">
        <w:rPr>
          <w:rFonts w:ascii="Times New Roman" w:eastAsiaTheme="minorEastAsia" w:hAnsi="Times New Roman" w:cs="Times New Roman"/>
          <w:sz w:val="24"/>
          <w:szCs w:val="24"/>
          <w:lang w:val="sr-Cyrl-BA"/>
        </w:rPr>
        <w:t>т</w:t>
      </w:r>
      <w:r w:rsidRPr="00AF6F54">
        <w:rPr>
          <w:rFonts w:ascii="Times New Roman" w:eastAsiaTheme="minorEastAsia" w:hAnsi="Times New Roman" w:cs="Times New Roman"/>
          <w:sz w:val="24"/>
          <w:szCs w:val="24"/>
        </w:rPr>
        <w:t>цјењивањ</w:t>
      </w:r>
      <w:r w:rsidR="00AB4586" w:rsidRPr="00AF6F54">
        <w:rPr>
          <w:rFonts w:ascii="Times New Roman" w:eastAsiaTheme="minorEastAsia" w:hAnsi="Times New Roman" w:cs="Times New Roman"/>
          <w:sz w:val="24"/>
          <w:szCs w:val="24"/>
        </w:rPr>
        <w:t>a</w:t>
      </w:r>
      <w:r w:rsidRPr="00AF6F54">
        <w:rPr>
          <w:rFonts w:ascii="Times New Roman" w:eastAsiaTheme="minorEastAsia" w:hAnsi="Times New Roman" w:cs="Times New Roman"/>
          <w:sz w:val="24"/>
          <w:szCs w:val="24"/>
        </w:rPr>
        <w:t xml:space="preserve"> њеног значаја).</w:t>
      </w:r>
    </w:p>
    <w:p w:rsidR="00E146AD" w:rsidRPr="00AF6F54" w:rsidRDefault="00E146AD" w:rsidP="00E146AD">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Стога, један од начина за отклањање проблема гдје се индекс рачуна користећи базни период јесте да се користи „chain</w:t>
      </w:r>
      <w:r w:rsidR="00AB4586" w:rsidRPr="00AF6F54">
        <w:rPr>
          <w:rFonts w:ascii="Times New Roman" w:eastAsiaTheme="minorEastAsia" w:hAnsi="Times New Roman" w:cs="Times New Roman"/>
          <w:sz w:val="24"/>
          <w:szCs w:val="24"/>
        </w:rPr>
        <w:t xml:space="preserve"> </w:t>
      </w:r>
      <w:r w:rsidRPr="00AF6F54">
        <w:rPr>
          <w:rFonts w:ascii="Times New Roman" w:eastAsiaTheme="minorEastAsia" w:hAnsi="Times New Roman" w:cs="Times New Roman"/>
          <w:sz w:val="24"/>
          <w:szCs w:val="24"/>
        </w:rPr>
        <w:t>linking“ приступ. Индекс који је креиран помоћу овог приступа повезује курс и трговинске пондера од периода до периода.</w:t>
      </w:r>
    </w:p>
    <w:p w:rsidR="00E146AD" w:rsidRPr="00AF6F54" w:rsidRDefault="00E146AD" w:rsidP="00E146AD">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За ефективни курс KM, корист</w:t>
      </w:r>
      <w:r w:rsidR="00746FD7" w:rsidRPr="00AF6F54">
        <w:rPr>
          <w:rFonts w:ascii="Times New Roman" w:eastAsiaTheme="minorEastAsia" w:hAnsi="Times New Roman" w:cs="Times New Roman"/>
          <w:sz w:val="24"/>
          <w:szCs w:val="24"/>
        </w:rPr>
        <w:t>e</w:t>
      </w:r>
      <w:r w:rsidRPr="00AF6F54">
        <w:rPr>
          <w:rFonts w:ascii="Times New Roman" w:eastAsiaTheme="minorEastAsia" w:hAnsi="Times New Roman" w:cs="Times New Roman"/>
          <w:sz w:val="24"/>
          <w:szCs w:val="24"/>
        </w:rPr>
        <w:t xml:space="preserve"> се периоди на трогодшњем нивоу (тренутно се користе дата </w:t>
      </w:r>
      <w:r w:rsidR="00B8463E" w:rsidRPr="00AF6F54">
        <w:rPr>
          <w:rFonts w:ascii="Times New Roman" w:eastAsiaTheme="minorEastAsia" w:hAnsi="Times New Roman" w:cs="Times New Roman"/>
          <w:sz w:val="24"/>
          <w:szCs w:val="24"/>
        </w:rPr>
        <w:t xml:space="preserve">четири </w:t>
      </w:r>
      <w:r w:rsidRPr="00AF6F54">
        <w:rPr>
          <w:rFonts w:ascii="Times New Roman" w:eastAsiaTheme="minorEastAsia" w:hAnsi="Times New Roman" w:cs="Times New Roman"/>
          <w:sz w:val="24"/>
          <w:szCs w:val="24"/>
        </w:rPr>
        <w:t>периода: 2007</w:t>
      </w:r>
      <w:r w:rsidR="00AB4586" w:rsidRPr="00AF6F54">
        <w:rPr>
          <w:rFonts w:ascii="Times New Roman" w:eastAsiaTheme="minorEastAsia" w:hAnsi="Times New Roman" w:cs="Times New Roman"/>
          <w:sz w:val="24"/>
          <w:szCs w:val="24"/>
        </w:rPr>
        <w:t>-</w:t>
      </w:r>
      <w:r w:rsidRPr="00AF6F54">
        <w:rPr>
          <w:rFonts w:ascii="Times New Roman" w:eastAsiaTheme="minorEastAsia" w:hAnsi="Times New Roman" w:cs="Times New Roman"/>
          <w:sz w:val="24"/>
          <w:szCs w:val="24"/>
        </w:rPr>
        <w:t>2009, 2010</w:t>
      </w:r>
      <w:r w:rsidR="00AB4586" w:rsidRPr="00AF6F54">
        <w:rPr>
          <w:rFonts w:ascii="Times New Roman" w:eastAsiaTheme="minorEastAsia" w:hAnsi="Times New Roman" w:cs="Times New Roman"/>
          <w:sz w:val="24"/>
          <w:szCs w:val="24"/>
        </w:rPr>
        <w:t>-2012</w:t>
      </w:r>
      <w:r w:rsidR="00B8463E" w:rsidRPr="00AF6F54">
        <w:rPr>
          <w:rFonts w:ascii="Times New Roman" w:eastAsiaTheme="minorEastAsia" w:hAnsi="Times New Roman" w:cs="Times New Roman"/>
          <w:sz w:val="24"/>
          <w:szCs w:val="24"/>
        </w:rPr>
        <w:t>, 2013-2015</w:t>
      </w:r>
      <w:r w:rsidR="00AB4586" w:rsidRPr="00AF6F54">
        <w:rPr>
          <w:rFonts w:ascii="Times New Roman" w:eastAsiaTheme="minorEastAsia" w:hAnsi="Times New Roman" w:cs="Times New Roman"/>
          <w:sz w:val="24"/>
          <w:szCs w:val="24"/>
        </w:rPr>
        <w:t xml:space="preserve"> и 201</w:t>
      </w:r>
      <w:r w:rsidR="00B8463E" w:rsidRPr="00AF6F54">
        <w:rPr>
          <w:rFonts w:ascii="Times New Roman" w:eastAsiaTheme="minorEastAsia" w:hAnsi="Times New Roman" w:cs="Times New Roman"/>
          <w:sz w:val="24"/>
          <w:szCs w:val="24"/>
        </w:rPr>
        <w:t>6</w:t>
      </w:r>
      <w:r w:rsidR="00AB4586" w:rsidRPr="00AF6F54">
        <w:rPr>
          <w:rFonts w:ascii="Times New Roman" w:eastAsiaTheme="minorEastAsia" w:hAnsi="Times New Roman" w:cs="Times New Roman"/>
          <w:sz w:val="24"/>
          <w:szCs w:val="24"/>
        </w:rPr>
        <w:t>-</w:t>
      </w:r>
      <w:r w:rsidRPr="00AF6F54">
        <w:rPr>
          <w:rFonts w:ascii="Times New Roman" w:eastAsiaTheme="minorEastAsia" w:hAnsi="Times New Roman" w:cs="Times New Roman"/>
          <w:sz w:val="24"/>
          <w:szCs w:val="24"/>
        </w:rPr>
        <w:t>201</w:t>
      </w:r>
      <w:r w:rsidR="00B8463E" w:rsidRPr="00AF6F54">
        <w:rPr>
          <w:rFonts w:ascii="Times New Roman" w:eastAsiaTheme="minorEastAsia" w:hAnsi="Times New Roman" w:cs="Times New Roman"/>
          <w:sz w:val="24"/>
          <w:szCs w:val="24"/>
        </w:rPr>
        <w:t>8</w:t>
      </w:r>
      <w:r w:rsidRPr="00AF6F54">
        <w:rPr>
          <w:rFonts w:ascii="Times New Roman" w:eastAsiaTheme="minorEastAsia" w:hAnsi="Times New Roman" w:cs="Times New Roman"/>
          <w:sz w:val="24"/>
          <w:szCs w:val="24"/>
        </w:rPr>
        <w:t>). То значи да су индекси ланчано везани на крају сваког периода и тако креиран индекс даје тачну слику промјена из периода у период.</w:t>
      </w:r>
    </w:p>
    <w:p w:rsidR="00E146AD" w:rsidRPr="00AF6F54" w:rsidRDefault="00E146AD" w:rsidP="00734206">
      <w:pPr>
        <w:pStyle w:val="Heading1"/>
        <w:rPr>
          <w:lang w:val="bs-Latn-BA"/>
        </w:rPr>
      </w:pPr>
    </w:p>
    <w:p w:rsidR="00734206" w:rsidRPr="00AF6F54" w:rsidRDefault="00E146AD" w:rsidP="00734206">
      <w:pPr>
        <w:pStyle w:val="Heading1"/>
        <w:rPr>
          <w:rFonts w:ascii="Times New Roman" w:eastAsiaTheme="minorEastAsia" w:hAnsi="Times New Roman" w:cs="Times New Roman"/>
          <w:sz w:val="24"/>
          <w:szCs w:val="24"/>
          <w:lang w:val="bs-Latn-BA"/>
        </w:rPr>
      </w:pPr>
      <w:r w:rsidRPr="00AF6F54">
        <w:rPr>
          <w:lang w:val="bs-Latn-BA"/>
        </w:rPr>
        <w:t>Периодика података</w:t>
      </w:r>
    </w:p>
    <w:p w:rsidR="00E30007" w:rsidRPr="00734206" w:rsidRDefault="00E30007" w:rsidP="00734206">
      <w:pPr>
        <w:spacing w:after="200" w:line="276" w:lineRule="auto"/>
        <w:jc w:val="both"/>
        <w:rPr>
          <w:rFonts w:ascii="Times New Roman" w:eastAsiaTheme="minorEastAsia" w:hAnsi="Times New Roman" w:cs="Times New Roman"/>
          <w:sz w:val="24"/>
          <w:szCs w:val="24"/>
        </w:rPr>
      </w:pPr>
      <w:r w:rsidRPr="00AF6F54">
        <w:rPr>
          <w:rFonts w:ascii="Times New Roman" w:eastAsiaTheme="minorEastAsia" w:hAnsi="Times New Roman" w:cs="Times New Roman"/>
          <w:sz w:val="24"/>
          <w:szCs w:val="24"/>
        </w:rPr>
        <w:t xml:space="preserve">Подаци за NEER (с базом 2015=100) и „chain linked“ NEER, REER – дефлатор CPI (с базом 2015=100) и „chain linked“ REER – дефлатор CPI </w:t>
      </w:r>
      <w:r w:rsidR="00B8463E" w:rsidRPr="00AF6F54">
        <w:rPr>
          <w:rFonts w:ascii="Times New Roman" w:eastAsiaTheme="minorEastAsia" w:hAnsi="Times New Roman" w:cs="Times New Roman"/>
          <w:sz w:val="24"/>
          <w:szCs w:val="24"/>
        </w:rPr>
        <w:t>су доступни од јануара 2005. године. A</w:t>
      </w:r>
      <w:r w:rsidRPr="00AF6F54">
        <w:rPr>
          <w:rFonts w:ascii="Times New Roman" w:eastAsiaTheme="minorEastAsia" w:hAnsi="Times New Roman" w:cs="Times New Roman"/>
          <w:sz w:val="24"/>
          <w:szCs w:val="24"/>
        </w:rPr>
        <w:t xml:space="preserve"> подаци за REER – дефлатор PPI (с базом 2015=100) и „chain linked“  REER – дефлатор PPI</w:t>
      </w:r>
      <w:r w:rsidR="00B8463E" w:rsidRPr="00AF6F54">
        <w:rPr>
          <w:rFonts w:ascii="Times New Roman" w:eastAsiaTheme="minorEastAsia" w:hAnsi="Times New Roman" w:cs="Times New Roman"/>
          <w:sz w:val="24"/>
          <w:szCs w:val="24"/>
        </w:rPr>
        <w:t xml:space="preserve"> су доступни од јануара 2007</w:t>
      </w:r>
      <w:r w:rsidRPr="00AF6F54">
        <w:rPr>
          <w:rFonts w:ascii="Times New Roman" w:eastAsiaTheme="minorEastAsia" w:hAnsi="Times New Roman" w:cs="Times New Roman"/>
          <w:sz w:val="24"/>
          <w:szCs w:val="24"/>
        </w:rPr>
        <w:t>. године.</w:t>
      </w:r>
      <w:bookmarkStart w:id="0" w:name="_GoBack"/>
      <w:bookmarkEnd w:id="0"/>
    </w:p>
    <w:sectPr w:rsidR="00E30007" w:rsidRPr="00734206" w:rsidSect="00054C7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C5F1A"/>
    <w:multiLevelType w:val="hybridMultilevel"/>
    <w:tmpl w:val="4238CBF8"/>
    <w:lvl w:ilvl="0" w:tplc="55D8D0CA">
      <w:start w:val="1"/>
      <w:numFmt w:val="bullet"/>
      <w:lvlText w:val="−"/>
      <w:lvlJc w:val="left"/>
      <w:pPr>
        <w:ind w:left="720" w:hanging="360"/>
      </w:pPr>
      <w:rPr>
        <w:rFonts w:ascii="Times New Roman" w:hAnsi="Times New Roman" w:cs="Times New Roman" w:hint="default"/>
      </w:rPr>
    </w:lvl>
    <w:lvl w:ilvl="1" w:tplc="55D8D0CA">
      <w:start w:val="1"/>
      <w:numFmt w:val="bullet"/>
      <w:lvlText w:val="−"/>
      <w:lvlJc w:val="left"/>
      <w:pPr>
        <w:ind w:left="1440" w:hanging="360"/>
      </w:pPr>
      <w:rPr>
        <w:rFonts w:ascii="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A0"/>
    <w:rsid w:val="000233A3"/>
    <w:rsid w:val="0003749C"/>
    <w:rsid w:val="0004595F"/>
    <w:rsid w:val="00054C75"/>
    <w:rsid w:val="0006287D"/>
    <w:rsid w:val="00073CBC"/>
    <w:rsid w:val="00086BF4"/>
    <w:rsid w:val="000A0254"/>
    <w:rsid w:val="000D76E3"/>
    <w:rsid w:val="0011703A"/>
    <w:rsid w:val="001434EE"/>
    <w:rsid w:val="0015765F"/>
    <w:rsid w:val="00191F0C"/>
    <w:rsid w:val="001B41E1"/>
    <w:rsid w:val="001D31FB"/>
    <w:rsid w:val="001E6156"/>
    <w:rsid w:val="00212F48"/>
    <w:rsid w:val="00232214"/>
    <w:rsid w:val="00261810"/>
    <w:rsid w:val="002A43B9"/>
    <w:rsid w:val="002B4405"/>
    <w:rsid w:val="002C0B49"/>
    <w:rsid w:val="002C5661"/>
    <w:rsid w:val="002F38E5"/>
    <w:rsid w:val="002F4708"/>
    <w:rsid w:val="002F4F7E"/>
    <w:rsid w:val="003229D1"/>
    <w:rsid w:val="00373E38"/>
    <w:rsid w:val="003803E2"/>
    <w:rsid w:val="00386E06"/>
    <w:rsid w:val="003D6368"/>
    <w:rsid w:val="00445441"/>
    <w:rsid w:val="00456CCC"/>
    <w:rsid w:val="0047618B"/>
    <w:rsid w:val="004830A8"/>
    <w:rsid w:val="004A310C"/>
    <w:rsid w:val="004A5DD9"/>
    <w:rsid w:val="004D28AE"/>
    <w:rsid w:val="004E68A7"/>
    <w:rsid w:val="00540CB4"/>
    <w:rsid w:val="005543CF"/>
    <w:rsid w:val="005B22A1"/>
    <w:rsid w:val="005D286F"/>
    <w:rsid w:val="0062625C"/>
    <w:rsid w:val="00632C6C"/>
    <w:rsid w:val="00635C49"/>
    <w:rsid w:val="00646063"/>
    <w:rsid w:val="006A33B7"/>
    <w:rsid w:val="006C0464"/>
    <w:rsid w:val="00705CF4"/>
    <w:rsid w:val="00716870"/>
    <w:rsid w:val="00734206"/>
    <w:rsid w:val="00746FD7"/>
    <w:rsid w:val="007613F4"/>
    <w:rsid w:val="0077386A"/>
    <w:rsid w:val="00786970"/>
    <w:rsid w:val="007976EE"/>
    <w:rsid w:val="007C0E2B"/>
    <w:rsid w:val="007E05E0"/>
    <w:rsid w:val="008117E3"/>
    <w:rsid w:val="00813149"/>
    <w:rsid w:val="00813F38"/>
    <w:rsid w:val="008230C4"/>
    <w:rsid w:val="008479DD"/>
    <w:rsid w:val="008F150C"/>
    <w:rsid w:val="009326A0"/>
    <w:rsid w:val="009327AE"/>
    <w:rsid w:val="00940507"/>
    <w:rsid w:val="009568A9"/>
    <w:rsid w:val="0096025B"/>
    <w:rsid w:val="00970AC4"/>
    <w:rsid w:val="00985D22"/>
    <w:rsid w:val="00A757AD"/>
    <w:rsid w:val="00A97899"/>
    <w:rsid w:val="00AB4586"/>
    <w:rsid w:val="00AD2A49"/>
    <w:rsid w:val="00AF6F54"/>
    <w:rsid w:val="00B3382E"/>
    <w:rsid w:val="00B41C13"/>
    <w:rsid w:val="00B71DA5"/>
    <w:rsid w:val="00B80C2B"/>
    <w:rsid w:val="00B8463E"/>
    <w:rsid w:val="00BA7DFE"/>
    <w:rsid w:val="00BE23DB"/>
    <w:rsid w:val="00BE3E50"/>
    <w:rsid w:val="00C0265E"/>
    <w:rsid w:val="00C0610E"/>
    <w:rsid w:val="00C73C6E"/>
    <w:rsid w:val="00C9397F"/>
    <w:rsid w:val="00CE3561"/>
    <w:rsid w:val="00CE6A91"/>
    <w:rsid w:val="00D06AEE"/>
    <w:rsid w:val="00D201E0"/>
    <w:rsid w:val="00D474F0"/>
    <w:rsid w:val="00D74E7F"/>
    <w:rsid w:val="00D85D47"/>
    <w:rsid w:val="00DB58B4"/>
    <w:rsid w:val="00DD0D0C"/>
    <w:rsid w:val="00E13B63"/>
    <w:rsid w:val="00E146AD"/>
    <w:rsid w:val="00E17D7D"/>
    <w:rsid w:val="00E30007"/>
    <w:rsid w:val="00E46109"/>
    <w:rsid w:val="00E67B13"/>
    <w:rsid w:val="00E91009"/>
    <w:rsid w:val="00E9313A"/>
    <w:rsid w:val="00E94B7C"/>
    <w:rsid w:val="00E964F9"/>
    <w:rsid w:val="00EA0AE5"/>
    <w:rsid w:val="00EE67EC"/>
    <w:rsid w:val="00F262E4"/>
    <w:rsid w:val="00F65A4E"/>
    <w:rsid w:val="00F91433"/>
    <w:rsid w:val="00F94B2A"/>
    <w:rsid w:val="00F97EE4"/>
    <w:rsid w:val="00FB3A98"/>
    <w:rsid w:val="00FE086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9C837-0A80-4C4A-BA90-5EF5F1C2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26A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9326A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373E3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6A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326A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373E38"/>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D85D47"/>
    <w:pPr>
      <w:ind w:left="720"/>
      <w:contextualSpacing/>
    </w:pPr>
  </w:style>
  <w:style w:type="character" w:styleId="Hyperlink">
    <w:name w:val="Hyperlink"/>
    <w:basedOn w:val="DefaultParagraphFont"/>
    <w:uiPriority w:val="99"/>
    <w:unhideWhenUsed/>
    <w:rsid w:val="008479DD"/>
    <w:rPr>
      <w:color w:val="0563C1" w:themeColor="hyperlink"/>
      <w:u w:val="single"/>
    </w:rPr>
  </w:style>
  <w:style w:type="paragraph" w:styleId="Caption">
    <w:name w:val="caption"/>
    <w:basedOn w:val="Normal"/>
    <w:next w:val="Normal"/>
    <w:uiPriority w:val="35"/>
    <w:unhideWhenUsed/>
    <w:qFormat/>
    <w:rsid w:val="008479DD"/>
    <w:pPr>
      <w:spacing w:after="200" w:line="240" w:lineRule="auto"/>
    </w:pPr>
    <w:rPr>
      <w:i/>
      <w:iCs/>
      <w:color w:val="44546A" w:themeColor="text2"/>
      <w:sz w:val="18"/>
      <w:szCs w:val="18"/>
    </w:rPr>
  </w:style>
  <w:style w:type="table" w:customStyle="1" w:styleId="PlainTable51">
    <w:name w:val="Plain Table 51"/>
    <w:basedOn w:val="TableNormal"/>
    <w:uiPriority w:val="45"/>
    <w:rsid w:val="009602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238597">
      <w:bodyDiv w:val="1"/>
      <w:marLeft w:val="0"/>
      <w:marRight w:val="0"/>
      <w:marTop w:val="0"/>
      <w:marBottom w:val="0"/>
      <w:divBdr>
        <w:top w:val="none" w:sz="0" w:space="0" w:color="auto"/>
        <w:left w:val="none" w:sz="0" w:space="0" w:color="auto"/>
        <w:bottom w:val="none" w:sz="0" w:space="0" w:color="auto"/>
        <w:right w:val="none" w:sz="0" w:space="0" w:color="auto"/>
      </w:divBdr>
    </w:div>
    <w:div w:id="1519080217">
      <w:bodyDiv w:val="1"/>
      <w:marLeft w:val="0"/>
      <w:marRight w:val="0"/>
      <w:marTop w:val="0"/>
      <w:marBottom w:val="0"/>
      <w:divBdr>
        <w:top w:val="none" w:sz="0" w:space="0" w:color="auto"/>
        <w:left w:val="none" w:sz="0" w:space="0" w:color="auto"/>
        <w:bottom w:val="none" w:sz="0" w:space="0" w:color="auto"/>
        <w:right w:val="none" w:sz="0" w:space="0" w:color="auto"/>
      </w:divBdr>
    </w:div>
    <w:div w:id="1727795406">
      <w:bodyDiv w:val="1"/>
      <w:marLeft w:val="0"/>
      <w:marRight w:val="0"/>
      <w:marTop w:val="0"/>
      <w:marBottom w:val="0"/>
      <w:divBdr>
        <w:top w:val="none" w:sz="0" w:space="0" w:color="auto"/>
        <w:left w:val="none" w:sz="0" w:space="0" w:color="auto"/>
        <w:bottom w:val="none" w:sz="0" w:space="0" w:color="auto"/>
        <w:right w:val="none" w:sz="0" w:space="0" w:color="auto"/>
      </w:divBdr>
    </w:div>
    <w:div w:id="1784883462">
      <w:bodyDiv w:val="1"/>
      <w:marLeft w:val="0"/>
      <w:marRight w:val="0"/>
      <w:marTop w:val="0"/>
      <w:marBottom w:val="0"/>
      <w:divBdr>
        <w:top w:val="none" w:sz="0" w:space="0" w:color="auto"/>
        <w:left w:val="none" w:sz="0" w:space="0" w:color="auto"/>
        <w:bottom w:val="none" w:sz="0" w:space="0" w:color="auto"/>
        <w:right w:val="none" w:sz="0" w:space="0" w:color="auto"/>
      </w:divBdr>
    </w:div>
    <w:div w:id="18748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tadstat.unctad.org/wds/ReportFolders/reportFolders.aspx?sCS_ChosenLang=en"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A55C-ACB2-447E-850E-AFBDA938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 Kamenica</dc:creator>
  <cp:keywords/>
  <dc:description/>
  <cp:lastModifiedBy>Masa Kamenica</cp:lastModifiedBy>
  <cp:revision>8</cp:revision>
  <dcterms:created xsi:type="dcterms:W3CDTF">2017-08-18T12:34:00Z</dcterms:created>
  <dcterms:modified xsi:type="dcterms:W3CDTF">2019-09-26T07:56:00Z</dcterms:modified>
</cp:coreProperties>
</file>