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66" w:rsidRDefault="00C01B66" w:rsidP="00C01B66">
      <w:pPr>
        <w:rPr>
          <w:lang w:val="pl-PL"/>
        </w:rPr>
      </w:pPr>
      <w:r>
        <w:rPr>
          <w:noProof/>
        </w:rPr>
        <w:t>На основу члан</w:t>
      </w:r>
      <w:r>
        <w:rPr>
          <w:noProof/>
          <w:lang w:val="bs-Latn-BA"/>
        </w:rPr>
        <w:t>а</w:t>
      </w:r>
      <w:r>
        <w:rPr>
          <w:noProof/>
        </w:rPr>
        <w:t xml:space="preserve"> </w:t>
      </w:r>
      <w:r>
        <w:rPr>
          <w:noProof/>
          <w:lang w:val="bs-Latn-BA"/>
        </w:rPr>
        <w:t>2. тачке 3. под а.</w:t>
      </w:r>
      <w:r>
        <w:rPr>
          <w:noProof/>
        </w:rPr>
        <w:t xml:space="preserve"> Закона о Централној банци Босне и Херцеговине (“Службени гласник БиХ”, 1/97, 29/02, 13/03, 14/03, 9/05, 76/06 и 32/07)</w:t>
      </w:r>
      <w:r>
        <w:rPr>
          <w:noProof/>
          <w:lang w:val="bs-Latn-BA"/>
        </w:rPr>
        <w:t xml:space="preserve"> и члана </w:t>
      </w:r>
      <w:r>
        <w:rPr>
          <w:lang w:val="pl-PL"/>
        </w:rPr>
        <w:t>52. Правилника Централне банке Босне и Херцеговине, УВ број: 120/05 од 29. јуна 2005. године</w:t>
      </w:r>
      <w:r>
        <w:rPr>
          <w:lang w:val="bs-Latn-BA"/>
        </w:rPr>
        <w:t xml:space="preserve">, </w:t>
      </w:r>
      <w:r>
        <w:rPr>
          <w:noProof/>
        </w:rPr>
        <w:t>100-УВ број: 66/10 од 29. априла 2010. године и 100-УВ број: 130/11 од 30. марта 2011. године</w:t>
      </w:r>
      <w:r>
        <w:rPr>
          <w:lang w:val="pl-PL"/>
        </w:rPr>
        <w:t>, Управн</w:t>
      </w:r>
      <w:r>
        <w:rPr>
          <w:lang w:val="sr-Cyrl-BA"/>
        </w:rPr>
        <w:t>и одбор</w:t>
      </w:r>
      <w:r>
        <w:rPr>
          <w:lang w:val="pl-PL"/>
        </w:rPr>
        <w:t xml:space="preserve"> Централне банке Босне и Херцеговине на </w:t>
      </w:r>
      <w:r>
        <w:rPr>
          <w:lang w:val="bs-Latn-BA"/>
        </w:rPr>
        <w:t>11</w:t>
      </w:r>
      <w:r>
        <w:rPr>
          <w:lang w:val="pl-PL"/>
        </w:rPr>
        <w:t xml:space="preserve">. сједници од </w:t>
      </w:r>
      <w:r>
        <w:rPr>
          <w:lang w:val="bs-Latn-BA"/>
        </w:rPr>
        <w:t xml:space="preserve">22. децембра </w:t>
      </w:r>
      <w:r>
        <w:rPr>
          <w:lang w:val="pl-PL"/>
        </w:rPr>
        <w:t>20</w:t>
      </w:r>
      <w:r>
        <w:rPr>
          <w:lang w:val="bs-Latn-BA"/>
        </w:rPr>
        <w:t>11</w:t>
      </w:r>
      <w:r>
        <w:rPr>
          <w:lang w:val="pl-PL"/>
        </w:rPr>
        <w:t xml:space="preserve">. године донио је </w:t>
      </w:r>
    </w:p>
    <w:p w:rsidR="00C01B66" w:rsidRDefault="00C01B66" w:rsidP="00C01B66">
      <w:pPr>
        <w:rPr>
          <w:lang w:val="bs-Latn-BA"/>
        </w:rPr>
      </w:pPr>
    </w:p>
    <w:p w:rsidR="00C01B66" w:rsidRDefault="00C01B66" w:rsidP="00C01B66">
      <w:pPr>
        <w:jc w:val="center"/>
        <w:rPr>
          <w:lang w:val="bs-Latn-BA"/>
        </w:rPr>
      </w:pPr>
      <w:r>
        <w:rPr>
          <w:lang w:val="bs-Latn-BA"/>
        </w:rPr>
        <w:t>ОДЛУКУ</w:t>
      </w:r>
    </w:p>
    <w:p w:rsidR="00C01B66" w:rsidRDefault="00C01B66" w:rsidP="00C01B66">
      <w:pPr>
        <w:jc w:val="center"/>
        <w:rPr>
          <w:lang w:val="bs-Latn-BA"/>
        </w:rPr>
      </w:pPr>
      <w:r>
        <w:rPr>
          <w:lang w:val="bs-Latn-BA"/>
        </w:rPr>
        <w:t>о утврђивању курсне листе Централне банке Босне и Херцеговине</w:t>
      </w:r>
    </w:p>
    <w:p w:rsidR="00C01B66" w:rsidRDefault="00C01B66" w:rsidP="00C01B66"/>
    <w:p w:rsidR="00C01B66" w:rsidRDefault="00C01B66" w:rsidP="00C01B66">
      <w:pPr>
        <w:rPr>
          <w:color w:val="000000"/>
        </w:rPr>
      </w:pPr>
    </w:p>
    <w:p w:rsidR="00C01B66" w:rsidRDefault="00C01B66" w:rsidP="00C01B66">
      <w:pPr>
        <w:rPr>
          <w:color w:val="000000"/>
        </w:rPr>
      </w:pPr>
      <w:r>
        <w:rPr>
          <w:color w:val="000000"/>
        </w:rPr>
        <w:t>1. Овом одлуком Централна банка Босне и Херцеговине (у даљем тексту: Централна банка) утврђује курсну листу Централне банке Босне и Херцеговине (у даљем тексту: курсна листа).</w:t>
      </w:r>
    </w:p>
    <w:p w:rsidR="00C01B66" w:rsidRDefault="00C01B66" w:rsidP="00C01B66">
      <w:pPr>
        <w:rPr>
          <w:color w:val="FF0000"/>
          <w:lang w:val="bs-Latn-BA"/>
        </w:rPr>
      </w:pPr>
    </w:p>
    <w:p w:rsidR="00C01B66" w:rsidRDefault="00C01B66" w:rsidP="00C01B66">
      <w:pPr>
        <w:jc w:val="both"/>
        <w:rPr>
          <w:lang w:val="bs-Latn-BA"/>
        </w:rPr>
      </w:pPr>
      <w:r>
        <w:rPr>
          <w:lang w:val="bs-Latn-BA"/>
        </w:rPr>
        <w:t xml:space="preserve">2. </w:t>
      </w:r>
      <w:r>
        <w:t xml:space="preserve">На курсној листи се </w:t>
      </w:r>
      <w:r>
        <w:rPr>
          <w:lang w:val="bs-Latn-BA"/>
        </w:rPr>
        <w:t xml:space="preserve">исказују </w:t>
      </w:r>
      <w:r>
        <w:t>најзначајније свјетске валуте</w:t>
      </w:r>
      <w:r>
        <w:rPr>
          <w:lang w:val="bs-Latn-BA"/>
        </w:rPr>
        <w:t>,</w:t>
      </w:r>
      <w:r>
        <w:t xml:space="preserve"> валуте </w:t>
      </w:r>
      <w:r>
        <w:rPr>
          <w:lang w:val="bs-Latn-BA"/>
        </w:rPr>
        <w:t>држава</w:t>
      </w:r>
      <w:r>
        <w:t xml:space="preserve"> чије банке врше замјену </w:t>
      </w:r>
      <w:r>
        <w:rPr>
          <w:lang w:val="bs-Latn-BA"/>
        </w:rPr>
        <w:t>конвертибилних марака (у даљем тексту: КМ)</w:t>
      </w:r>
      <w:r>
        <w:t xml:space="preserve"> и вриједност специјалних права вучења (SDR </w:t>
      </w:r>
      <w:r>
        <w:rPr>
          <w:lang w:val="bs-Latn-BA"/>
        </w:rPr>
        <w:t>–</w:t>
      </w:r>
      <w:r>
        <w:t xml:space="preserve"> special drawing rights)</w:t>
      </w:r>
      <w:r>
        <w:rPr>
          <w:lang w:val="bs-Latn-BA"/>
        </w:rPr>
        <w:t>, како слиједи:</w:t>
      </w:r>
    </w:p>
    <w:p w:rsidR="00C01B66" w:rsidRDefault="00C01B66" w:rsidP="00C01B66">
      <w:pPr>
        <w:rPr>
          <w:lang w:val="bs-Latn-BA"/>
        </w:rPr>
      </w:pPr>
    </w:p>
    <w:p w:rsidR="00C01B66" w:rsidRDefault="00C01B66" w:rsidP="00C01B66">
      <w:pPr>
        <w:pStyle w:val="Heading1"/>
      </w:pPr>
      <w:r>
        <w:t xml:space="preserve">Држава                    Назив валуте               Ознака валуте          Шифра             </w:t>
      </w:r>
    </w:p>
    <w:p w:rsidR="00C01B66" w:rsidRDefault="00C01B66" w:rsidP="00C01B66">
      <w:pPr>
        <w:rPr>
          <w:lang w:val="bs-Latn-BA"/>
        </w:rPr>
      </w:pPr>
    </w:p>
    <w:p w:rsidR="00C01B66" w:rsidRDefault="00FA72AB" w:rsidP="00C01B66">
      <w:pPr>
        <w:ind w:left="6120" w:hanging="6120"/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EMU                     </w:t>
      </w:r>
      <w:r w:rsidR="00186CE2">
        <w:rPr>
          <w:lang w:val="bs-Latn-BA"/>
        </w:rPr>
        <w:t xml:space="preserve">  </w:t>
      </w:r>
      <w:r w:rsidR="00C01B66">
        <w:rPr>
          <w:lang w:val="bs-Latn-BA"/>
        </w:rPr>
        <w:t xml:space="preserve"> EUR                                  </w:t>
      </w:r>
      <w:r w:rsidR="00186CE2">
        <w:rPr>
          <w:lang w:val="bs-Latn-BA"/>
        </w:rPr>
        <w:t xml:space="preserve">   </w:t>
      </w:r>
      <w:r w:rsidR="00C01B66">
        <w:rPr>
          <w:lang w:val="bs-Latn-BA"/>
        </w:rPr>
        <w:t xml:space="preserve"> EUR                    978 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Аустралија              Аустралски долар               AUD           </w:t>
      </w:r>
      <w:r>
        <w:rPr>
          <w:lang w:val="bs-Latn-BA"/>
        </w:rPr>
        <w:t xml:space="preserve">        03</w:t>
      </w:r>
      <w:r w:rsidR="00C01B66">
        <w:rPr>
          <w:lang w:val="bs-Latn-BA"/>
        </w:rPr>
        <w:t xml:space="preserve">6 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Канада                  </w:t>
      </w:r>
      <w:r w:rsidR="001534A1">
        <w:rPr>
          <w:lang w:val="bs-Latn-BA"/>
        </w:rPr>
        <w:t xml:space="preserve">   </w:t>
      </w:r>
      <w:r w:rsidR="00C01B66">
        <w:rPr>
          <w:lang w:val="bs-Latn-BA"/>
        </w:rPr>
        <w:t xml:space="preserve">Канадски долар                   CAD              </w:t>
      </w:r>
      <w:r>
        <w:rPr>
          <w:lang w:val="bs-Latn-BA"/>
        </w:rPr>
        <w:t xml:space="preserve">    </w:t>
      </w:r>
      <w:r w:rsidR="00C01B66">
        <w:rPr>
          <w:lang w:val="bs-Latn-BA"/>
        </w:rPr>
        <w:t xml:space="preserve"> 124 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Хрватска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Хрватска куна     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HRK                   191                </w:t>
      </w:r>
    </w:p>
    <w:p w:rsidR="00C01B66" w:rsidRDefault="00FA72AB" w:rsidP="00C01B66">
      <w:pPr>
        <w:ind w:left="6120" w:hanging="6120"/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Чешка Р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Чешка круна        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CZK                    203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Данска   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Данска круна                     </w:t>
      </w:r>
      <w:r w:rsidR="001534A1">
        <w:rPr>
          <w:lang w:val="bs-Latn-BA"/>
        </w:rPr>
        <w:t xml:space="preserve">   </w:t>
      </w:r>
      <w:r w:rsidR="00C01B66">
        <w:rPr>
          <w:lang w:val="bs-Latn-BA"/>
        </w:rPr>
        <w:t xml:space="preserve">DKK                   </w:t>
      </w:r>
      <w:r w:rsidR="005A43FC">
        <w:rPr>
          <w:lang w:val="bs-Latn-BA"/>
        </w:rPr>
        <w:t xml:space="preserve"> </w:t>
      </w:r>
      <w:bookmarkStart w:id="0" w:name="_GoBack"/>
      <w:bookmarkEnd w:id="0"/>
      <w:r w:rsidR="00C01B66">
        <w:rPr>
          <w:lang w:val="bs-Latn-BA"/>
        </w:rPr>
        <w:t xml:space="preserve">208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Мађарска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Мађарска форинта               HUF                   </w:t>
      </w:r>
      <w:r w:rsidR="005A43FC">
        <w:rPr>
          <w:lang w:val="bs-Latn-BA"/>
        </w:rPr>
        <w:t xml:space="preserve"> </w:t>
      </w:r>
      <w:r w:rsidR="00C01B66">
        <w:rPr>
          <w:lang w:val="bs-Latn-BA"/>
        </w:rPr>
        <w:t xml:space="preserve">348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Јапан      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Јапански јен         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JPY                     392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</w:t>
      </w:r>
      <w:r w:rsidR="001534A1">
        <w:rPr>
          <w:lang w:val="bs-Latn-BA"/>
        </w:rPr>
        <w:t xml:space="preserve"> </w:t>
      </w:r>
      <w:r>
        <w:rPr>
          <w:lang w:val="bs-Cyrl-BA"/>
        </w:rPr>
        <w:t>Л</w:t>
      </w:r>
      <w:r w:rsidR="00C01B66">
        <w:rPr>
          <w:lang w:val="bs-Latn-BA"/>
        </w:rPr>
        <w:t xml:space="preserve">итванија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Литванијска лита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LTL                    440                 </w:t>
      </w:r>
    </w:p>
    <w:p w:rsidR="00C01B66" w:rsidRDefault="00FA72AB" w:rsidP="00C01B66">
      <w:pPr>
        <w:rPr>
          <w:lang w:val="bs-Latn-BA"/>
        </w:rPr>
      </w:pPr>
      <w:r>
        <w:rPr>
          <w:lang w:val="bs-Latn-BA"/>
        </w:rPr>
        <w:t xml:space="preserve">             </w:t>
      </w:r>
      <w:r w:rsidR="00C01B66">
        <w:rPr>
          <w:lang w:val="bs-Latn-BA"/>
        </w:rPr>
        <w:t xml:space="preserve">Норвешка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Норвешка круна 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NOK                   578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    </w:t>
      </w:r>
      <w:r w:rsidR="00C01B66">
        <w:rPr>
          <w:lang w:val="bs-Latn-BA"/>
        </w:rPr>
        <w:t xml:space="preserve">Шведска     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Шведска круна   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SEK                     752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</w:t>
      </w:r>
      <w:r w:rsidR="001534A1">
        <w:rPr>
          <w:lang w:val="bs-Latn-BA"/>
        </w:rPr>
        <w:t xml:space="preserve">        </w:t>
      </w:r>
      <w:r w:rsidR="00C01B66">
        <w:rPr>
          <w:lang w:val="bs-Latn-BA"/>
        </w:rPr>
        <w:t xml:space="preserve">Швajцарска          </w:t>
      </w:r>
      <w:r w:rsidR="001534A1">
        <w:rPr>
          <w:lang w:val="bs-Latn-BA"/>
        </w:rPr>
        <w:t xml:space="preserve">  </w:t>
      </w:r>
      <w:r w:rsidR="00C01B66">
        <w:rPr>
          <w:lang w:val="bs-Latn-BA"/>
        </w:rPr>
        <w:t xml:space="preserve">Швajцарски франак             CHF                     756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    </w:t>
      </w:r>
      <w:r w:rsidR="00C01B66">
        <w:rPr>
          <w:lang w:val="bs-Latn-BA"/>
        </w:rPr>
        <w:t xml:space="preserve">Турска  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Турска лира                          TRY                     949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 </w:t>
      </w:r>
      <w:r w:rsidR="001534A1">
        <w:rPr>
          <w:lang w:val="bs-Latn-BA"/>
        </w:rPr>
        <w:t xml:space="preserve">   </w:t>
      </w:r>
      <w:r w:rsidR="00C01B66">
        <w:rPr>
          <w:lang w:val="bs-Latn-BA"/>
        </w:rPr>
        <w:t xml:space="preserve">В. Британија          Британска фунта                  GBP                     826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    </w:t>
      </w:r>
      <w:r w:rsidR="00C01B66">
        <w:rPr>
          <w:lang w:val="bs-Latn-BA"/>
        </w:rPr>
        <w:t xml:space="preserve">САД                      </w:t>
      </w:r>
      <w:r w:rsidR="001534A1">
        <w:rPr>
          <w:lang w:val="bs-Latn-BA"/>
        </w:rPr>
        <w:t xml:space="preserve"> </w:t>
      </w:r>
      <w:r w:rsidR="00C01B66">
        <w:rPr>
          <w:lang w:val="bs-Latn-BA"/>
        </w:rPr>
        <w:t xml:space="preserve">Амерички долар                   USD                     840 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    </w:t>
      </w:r>
      <w:r w:rsidR="00C01B66">
        <w:rPr>
          <w:lang w:val="bs-Latn-BA"/>
        </w:rPr>
        <w:t xml:space="preserve">Русија                    Руска рубља                       </w:t>
      </w:r>
      <w:r w:rsidR="001534A1">
        <w:rPr>
          <w:lang w:val="bs-Latn-BA"/>
        </w:rPr>
        <w:t xml:space="preserve">   </w:t>
      </w:r>
      <w:r w:rsidR="00C01B66">
        <w:rPr>
          <w:lang w:val="bs-Latn-BA"/>
        </w:rPr>
        <w:t xml:space="preserve">RUB                     643                 </w:t>
      </w:r>
    </w:p>
    <w:p w:rsidR="00C01B66" w:rsidRDefault="00FA72AB" w:rsidP="00C01B66">
      <w:pPr>
        <w:rPr>
          <w:lang w:val="bs-Latn-BA"/>
        </w:rPr>
      </w:pPr>
      <w:r>
        <w:rPr>
          <w:lang w:val="bs-Cyrl-BA"/>
        </w:rPr>
        <w:t xml:space="preserve">         </w:t>
      </w:r>
      <w:r w:rsidR="001534A1">
        <w:rPr>
          <w:lang w:val="bs-Latn-BA"/>
        </w:rPr>
        <w:t xml:space="preserve">    </w:t>
      </w:r>
      <w:r w:rsidR="00C01B66">
        <w:rPr>
          <w:lang w:val="bs-Latn-BA"/>
        </w:rPr>
        <w:t xml:space="preserve">Србија                   Србијански динар                 RSD                     941                 </w:t>
      </w: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jc w:val="both"/>
      </w:pPr>
      <w:r>
        <w:rPr>
          <w:lang w:val="bs-Latn-BA"/>
        </w:rPr>
        <w:t xml:space="preserve">3. Поред валута утврђених у тачки 2. ове одлуке, по одобрењу гувернера Централне банке, на </w:t>
      </w:r>
      <w:r>
        <w:t xml:space="preserve"> курсн</w:t>
      </w:r>
      <w:r>
        <w:rPr>
          <w:lang w:val="bs-Latn-BA"/>
        </w:rPr>
        <w:t>у</w:t>
      </w:r>
      <w:r>
        <w:t xml:space="preserve"> лист</w:t>
      </w:r>
      <w:r>
        <w:rPr>
          <w:lang w:val="bs-Latn-BA"/>
        </w:rPr>
        <w:t>у се могу укључити и друге валуте.</w:t>
      </w:r>
    </w:p>
    <w:p w:rsidR="00C01B66" w:rsidRDefault="00C01B66" w:rsidP="00C01B66">
      <w:pPr>
        <w:rPr>
          <w:lang w:val="bs-Latn-BA"/>
        </w:rPr>
      </w:pPr>
    </w:p>
    <w:p w:rsidR="00C01B66" w:rsidRDefault="00C01B66" w:rsidP="00C01B66">
      <w:pPr>
        <w:jc w:val="both"/>
      </w:pPr>
      <w:r>
        <w:rPr>
          <w:lang w:val="bs-Latn-BA"/>
        </w:rPr>
        <w:t xml:space="preserve">4. </w:t>
      </w:r>
      <w:r>
        <w:t xml:space="preserve">Као </w:t>
      </w:r>
      <w:r>
        <w:rPr>
          <w:lang w:val="bs-Latn-BA"/>
        </w:rPr>
        <w:t>основ</w:t>
      </w:r>
      <w:r>
        <w:t xml:space="preserve"> за утврђивање </w:t>
      </w:r>
      <w:r>
        <w:rPr>
          <w:lang w:val="bs-Latn-BA"/>
        </w:rPr>
        <w:t xml:space="preserve">односа страних валута према КМ, у облику средњег курса, </w:t>
      </w:r>
      <w:r>
        <w:t>корист</w:t>
      </w:r>
      <w:r>
        <w:rPr>
          <w:lang w:val="bs-Latn-BA"/>
        </w:rPr>
        <w:t>е</w:t>
      </w:r>
      <w:r>
        <w:t xml:space="preserve"> се </w:t>
      </w:r>
      <w:r>
        <w:rPr>
          <w:lang w:val="bs-Latn-BA"/>
        </w:rPr>
        <w:t xml:space="preserve">средње вриједности валута утврђене и исказане на </w:t>
      </w:r>
      <w:r>
        <w:t>курсн</w:t>
      </w:r>
      <w:r>
        <w:rPr>
          <w:lang w:val="bs-Latn-BA"/>
        </w:rPr>
        <w:t>ој</w:t>
      </w:r>
      <w:r>
        <w:t xml:space="preserve"> лист</w:t>
      </w:r>
      <w:r>
        <w:rPr>
          <w:lang w:val="bs-Latn-BA"/>
        </w:rPr>
        <w:t>и</w:t>
      </w:r>
      <w:r>
        <w:t xml:space="preserve"> Европске централне банке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 xml:space="preserve">док се за валуте које се </w:t>
      </w:r>
      <w:r>
        <w:t>не налаз</w:t>
      </w:r>
      <w:r>
        <w:rPr>
          <w:lang w:val="bs-Latn-BA"/>
        </w:rPr>
        <w:t>е</w:t>
      </w:r>
      <w:r>
        <w:t xml:space="preserve"> на курсној листи Европске централне банке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утврђивање односа тих валута према КМ врши</w:t>
      </w:r>
      <w:r>
        <w:t xml:space="preserve"> на основу </w:t>
      </w:r>
      <w:r>
        <w:rPr>
          <w:lang w:val="bs-Latn-BA"/>
        </w:rPr>
        <w:t>званичног курса тих валута</w:t>
      </w:r>
      <w:r>
        <w:t xml:space="preserve"> према </w:t>
      </w:r>
      <w:r>
        <w:rPr>
          <w:lang w:val="bs-Latn-BA"/>
        </w:rPr>
        <w:t>КМ или EUR</w:t>
      </w:r>
      <w:r>
        <w:t xml:space="preserve"> </w:t>
      </w:r>
      <w:r>
        <w:rPr>
          <w:lang w:val="bs-Latn-BA"/>
        </w:rPr>
        <w:t>утврђеног од стране централне банке државе о чијој се валути ради.</w:t>
      </w: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jc w:val="both"/>
        <w:rPr>
          <w:noProof/>
        </w:rPr>
      </w:pPr>
      <w:r>
        <w:rPr>
          <w:noProof/>
          <w:lang w:val="bs-Latn-BA"/>
        </w:rPr>
        <w:t xml:space="preserve">5. </w:t>
      </w:r>
      <w:r>
        <w:rPr>
          <w:noProof/>
        </w:rPr>
        <w:t xml:space="preserve">Курсна листа се израђује дневно, означава се редним бројем, носи датум </w:t>
      </w:r>
      <w:r>
        <w:rPr>
          <w:noProof/>
          <w:lang w:val="bs-Latn-BA"/>
        </w:rPr>
        <w:t xml:space="preserve">почетка примјене </w:t>
      </w:r>
      <w:r>
        <w:rPr>
          <w:noProof/>
        </w:rPr>
        <w:t>и примјењује се до издавања нове курсне листе. Курсна листа се објављује на интернет страници Централне банке.</w:t>
      </w:r>
    </w:p>
    <w:p w:rsidR="00C01B66" w:rsidRDefault="00C01B66" w:rsidP="00C01B66">
      <w:pPr>
        <w:jc w:val="both"/>
        <w:rPr>
          <w:noProof/>
        </w:rPr>
      </w:pPr>
    </w:p>
    <w:p w:rsidR="00C01B66" w:rsidRDefault="00C01B66" w:rsidP="00C01B66">
      <w:pPr>
        <w:jc w:val="both"/>
        <w:rPr>
          <w:noProof/>
        </w:rPr>
      </w:pPr>
      <w:r>
        <w:rPr>
          <w:noProof/>
          <w:lang w:val="bs-Latn-BA"/>
        </w:rPr>
        <w:t xml:space="preserve">6. </w:t>
      </w:r>
      <w:r>
        <w:rPr>
          <w:noProof/>
        </w:rPr>
        <w:t xml:space="preserve">Односи валута на курсној листи се исказују у </w:t>
      </w:r>
      <w:r>
        <w:rPr>
          <w:noProof/>
          <w:lang w:val="bs-Latn-BA"/>
        </w:rPr>
        <w:t>КМ</w:t>
      </w:r>
      <w:r>
        <w:rPr>
          <w:noProof/>
        </w:rPr>
        <w:t xml:space="preserve">, заокружењем на шест цифара иза децималног зареза. </w:t>
      </w:r>
    </w:p>
    <w:p w:rsidR="00C01B66" w:rsidRDefault="00C01B66" w:rsidP="00C01B66">
      <w:pPr>
        <w:jc w:val="both"/>
        <w:rPr>
          <w:noProof/>
        </w:rPr>
      </w:pPr>
    </w:p>
    <w:p w:rsidR="00C01B66" w:rsidRDefault="00C01B66" w:rsidP="00C01B66">
      <w:pPr>
        <w:jc w:val="both"/>
        <w:rPr>
          <w:noProof/>
        </w:rPr>
      </w:pPr>
      <w:r>
        <w:rPr>
          <w:noProof/>
          <w:lang w:val="bs-Latn-BA"/>
        </w:rPr>
        <w:t xml:space="preserve">7. </w:t>
      </w:r>
      <w:r>
        <w:rPr>
          <w:noProof/>
        </w:rPr>
        <w:t>Курсеви се утврђују и исказују као куповни, средњи и продајни. Куповни курсеви свих валута, изузев е</w:t>
      </w:r>
      <w:r>
        <w:rPr>
          <w:noProof/>
          <w:lang w:val="sr-Cyrl-BA"/>
        </w:rPr>
        <w:t>в</w:t>
      </w:r>
      <w:r>
        <w:rPr>
          <w:noProof/>
        </w:rPr>
        <w:t xml:space="preserve">ра, се утврђују одбијањем 2,5 промила од вриједности средњег курса валуте док се продајни курсеви утврђују додавањем 2,5 промила на вриједност средњег курса валуте. </w:t>
      </w:r>
    </w:p>
    <w:p w:rsidR="00C01B66" w:rsidRDefault="00C01B66" w:rsidP="00C01B66">
      <w:pPr>
        <w:jc w:val="both"/>
        <w:rPr>
          <w:noProof/>
        </w:rPr>
      </w:pPr>
    </w:p>
    <w:p w:rsidR="00C01B66" w:rsidRPr="00A46DD8" w:rsidRDefault="00C01B66" w:rsidP="00C01B66">
      <w:pPr>
        <w:pStyle w:val="BodyText3"/>
        <w:rPr>
          <w:color w:val="000000"/>
          <w:sz w:val="24"/>
          <w:szCs w:val="24"/>
          <w:lang w:val="it-IT"/>
        </w:rPr>
      </w:pPr>
      <w:r w:rsidRPr="00A46DD8">
        <w:rPr>
          <w:color w:val="000000"/>
          <w:sz w:val="24"/>
          <w:szCs w:val="24"/>
        </w:rPr>
        <w:t>8</w:t>
      </w:r>
      <w:r w:rsidRPr="00A46DD8">
        <w:rPr>
          <w:color w:val="000000"/>
          <w:sz w:val="24"/>
          <w:szCs w:val="24"/>
          <w:lang w:val="it-IT"/>
        </w:rPr>
        <w:t xml:space="preserve">. </w:t>
      </w:r>
      <w:r>
        <w:rPr>
          <w:color w:val="000000"/>
          <w:sz w:val="24"/>
          <w:szCs w:val="24"/>
          <w:lang w:val="it-IT"/>
        </w:rPr>
        <w:t>Ова</w:t>
      </w:r>
      <w:r w:rsidRPr="00A46DD8"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z w:val="24"/>
          <w:szCs w:val="24"/>
          <w:lang w:val="it-IT"/>
        </w:rPr>
        <w:t>одлука</w:t>
      </w:r>
      <w:r w:rsidRPr="00A46DD8"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z w:val="24"/>
          <w:szCs w:val="24"/>
          <w:lang w:val="it-IT"/>
        </w:rPr>
        <w:t>ступа</w:t>
      </w:r>
      <w:r w:rsidRPr="00A46DD8"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z w:val="24"/>
          <w:szCs w:val="24"/>
          <w:lang w:val="it-IT"/>
        </w:rPr>
        <w:t>на</w:t>
      </w:r>
      <w:r w:rsidRPr="00A46DD8">
        <w:rPr>
          <w:color w:val="000000"/>
          <w:sz w:val="24"/>
          <w:szCs w:val="24"/>
          <w:lang w:val="it-IT"/>
        </w:rPr>
        <w:t xml:space="preserve"> </w:t>
      </w:r>
      <w:r>
        <w:rPr>
          <w:color w:val="000000"/>
          <w:sz w:val="24"/>
          <w:szCs w:val="24"/>
          <w:lang w:val="it-IT"/>
        </w:rPr>
        <w:t>снагу</w:t>
      </w:r>
      <w:r w:rsidRPr="00A46DD8">
        <w:rPr>
          <w:color w:val="000000"/>
          <w:sz w:val="24"/>
          <w:szCs w:val="24"/>
          <w:lang w:val="it-IT"/>
        </w:rPr>
        <w:t xml:space="preserve"> 1. </w:t>
      </w:r>
      <w:r>
        <w:rPr>
          <w:color w:val="000000"/>
          <w:sz w:val="24"/>
          <w:szCs w:val="24"/>
        </w:rPr>
        <w:t>јануара</w:t>
      </w:r>
      <w:r w:rsidRPr="00A46DD8">
        <w:rPr>
          <w:color w:val="000000"/>
          <w:sz w:val="24"/>
          <w:szCs w:val="24"/>
          <w:lang w:val="it-IT"/>
        </w:rPr>
        <w:t xml:space="preserve"> 20</w:t>
      </w:r>
      <w:r w:rsidRPr="00A46DD8">
        <w:rPr>
          <w:color w:val="000000"/>
          <w:sz w:val="24"/>
          <w:szCs w:val="24"/>
        </w:rPr>
        <w:t>12</w:t>
      </w:r>
      <w:r w:rsidRPr="00A46DD8">
        <w:rPr>
          <w:color w:val="000000"/>
          <w:sz w:val="24"/>
          <w:szCs w:val="24"/>
          <w:lang w:val="it-IT"/>
        </w:rPr>
        <w:t xml:space="preserve">. </w:t>
      </w:r>
      <w:r>
        <w:rPr>
          <w:color w:val="000000"/>
          <w:sz w:val="24"/>
          <w:szCs w:val="24"/>
          <w:lang w:val="it-IT"/>
        </w:rPr>
        <w:t>године</w:t>
      </w:r>
      <w:r w:rsidRPr="00A46DD8">
        <w:rPr>
          <w:color w:val="000000"/>
          <w:sz w:val="24"/>
          <w:szCs w:val="24"/>
          <w:lang w:val="it-IT"/>
        </w:rPr>
        <w:t>.</w:t>
      </w:r>
    </w:p>
    <w:p w:rsidR="00C01B66" w:rsidRDefault="00C01B66" w:rsidP="00C01B66">
      <w:pPr>
        <w:jc w:val="center"/>
        <w:rPr>
          <w:lang w:val="it-IT"/>
        </w:rPr>
      </w:pPr>
    </w:p>
    <w:p w:rsidR="00C01B66" w:rsidRDefault="00C01B66" w:rsidP="00C01B66">
      <w:pPr>
        <w:jc w:val="both"/>
        <w:rPr>
          <w:lang w:val="it-IT"/>
        </w:rPr>
      </w:pPr>
      <w:r>
        <w:rPr>
          <w:lang w:val="bs-Latn-BA"/>
        </w:rPr>
        <w:t xml:space="preserve">9. </w:t>
      </w:r>
      <w:r>
        <w:rPr>
          <w:lang w:val="it-IT"/>
        </w:rPr>
        <w:t xml:space="preserve">Ова одлука ће се објавити </w:t>
      </w:r>
      <w:r>
        <w:rPr>
          <w:lang w:val="bs-Latn-BA"/>
        </w:rPr>
        <w:t xml:space="preserve">у </w:t>
      </w:r>
      <w:r>
        <w:rPr>
          <w:lang w:val="it-IT"/>
        </w:rPr>
        <w:t>“</w:t>
      </w:r>
      <w:r>
        <w:rPr>
          <w:lang w:val="bs-Latn-BA"/>
        </w:rPr>
        <w:t>Службеном гласнику БиХ</w:t>
      </w:r>
      <w:r>
        <w:rPr>
          <w:lang w:val="it-IT"/>
        </w:rPr>
        <w:t>”</w:t>
      </w:r>
      <w:r>
        <w:rPr>
          <w:lang w:val="bs-Latn-BA"/>
        </w:rPr>
        <w:t>,</w:t>
      </w:r>
      <w:r>
        <w:rPr>
          <w:lang w:val="it-IT"/>
        </w:rPr>
        <w:t xml:space="preserve">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jc w:val="both"/>
        <w:rPr>
          <w:lang w:val="bs-Latn-BA"/>
        </w:rPr>
      </w:pPr>
    </w:p>
    <w:p w:rsidR="00C01B66" w:rsidRDefault="00C01B66" w:rsidP="00C01B66">
      <w:pPr>
        <w:ind w:hanging="180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lang w:val="bs-Latn-BA"/>
        </w:rPr>
        <w:t xml:space="preserve">  </w:t>
      </w:r>
      <w:r>
        <w:rPr>
          <w:b/>
          <w:bCs/>
        </w:rPr>
        <w:t xml:space="preserve">100-УВ број: </w:t>
      </w:r>
      <w:r>
        <w:rPr>
          <w:b/>
          <w:bCs/>
          <w:lang w:val="bs-Latn-BA"/>
        </w:rPr>
        <w:t>235/11</w:t>
      </w:r>
      <w:r>
        <w:rPr>
          <w:b/>
          <w:bCs/>
        </w:rPr>
        <w:t xml:space="preserve">                                                  Предсједавајући</w:t>
      </w:r>
    </w:p>
    <w:p w:rsidR="00C01B66" w:rsidRDefault="00C01B66" w:rsidP="00C01B66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val="bs-Latn-BA"/>
        </w:rPr>
        <w:t>22</w:t>
      </w:r>
      <w:r>
        <w:rPr>
          <w:b/>
          <w:bCs/>
        </w:rPr>
        <w:t xml:space="preserve">. </w:t>
      </w:r>
      <w:r>
        <w:rPr>
          <w:b/>
          <w:bCs/>
          <w:lang w:val="bs-Latn-BA"/>
        </w:rPr>
        <w:t>децембар</w:t>
      </w:r>
      <w:r>
        <w:rPr>
          <w:b/>
          <w:bCs/>
        </w:rPr>
        <w:t xml:space="preserve"> 201</w:t>
      </w:r>
      <w:r>
        <w:rPr>
          <w:b/>
          <w:bCs/>
          <w:lang w:val="bs-Latn-BA"/>
        </w:rPr>
        <w:t>1</w:t>
      </w:r>
      <w:r>
        <w:rPr>
          <w:b/>
          <w:bCs/>
        </w:rPr>
        <w:t xml:space="preserve">. године </w:t>
      </w:r>
      <w:r>
        <w:rPr>
          <w:b/>
          <w:bCs/>
          <w:lang w:val="bs-Latn-BA"/>
        </w:rPr>
        <w:t xml:space="preserve"> </w:t>
      </w:r>
      <w:r>
        <w:rPr>
          <w:b/>
          <w:bCs/>
        </w:rPr>
        <w:t xml:space="preserve">                              Управног </w:t>
      </w:r>
      <w:r>
        <w:rPr>
          <w:b/>
          <w:bCs/>
          <w:lang w:val="sr-Cyrl-BA"/>
        </w:rPr>
        <w:t>одбор</w:t>
      </w:r>
      <w:r>
        <w:rPr>
          <w:b/>
          <w:bCs/>
        </w:rPr>
        <w:t>а Централне банке</w:t>
      </w:r>
    </w:p>
    <w:p w:rsidR="00C01B66" w:rsidRDefault="00C01B66" w:rsidP="00C01B66">
      <w:pPr>
        <w:jc w:val="both"/>
        <w:rPr>
          <w:b/>
          <w:bCs/>
        </w:rPr>
      </w:pPr>
      <w:r>
        <w:rPr>
          <w:b/>
          <w:bCs/>
        </w:rPr>
        <w:t xml:space="preserve">          С а р а ј е в о                                                           Босне и Херцеговине</w:t>
      </w:r>
    </w:p>
    <w:p w:rsidR="00C01B66" w:rsidRDefault="00C01B66" w:rsidP="00C01B66">
      <w:pPr>
        <w:jc w:val="both"/>
        <w:rPr>
          <w:b/>
          <w:bCs/>
        </w:rPr>
      </w:pPr>
    </w:p>
    <w:p w:rsidR="00C01B66" w:rsidRDefault="00C01B66" w:rsidP="00C01B6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ГУВЕРНЕР</w:t>
      </w:r>
    </w:p>
    <w:p w:rsidR="00C01B66" w:rsidRDefault="00C01B66" w:rsidP="00C01B66">
      <w:pPr>
        <w:jc w:val="both"/>
        <w:rPr>
          <w:lang w:val="bs-Latn-BA"/>
        </w:rPr>
      </w:pPr>
      <w:r>
        <w:rPr>
          <w:b/>
          <w:bCs/>
        </w:rPr>
        <w:t xml:space="preserve">                                                                                             др Кемал Козарић</w:t>
      </w:r>
    </w:p>
    <w:p w:rsidR="00C01B66" w:rsidRDefault="00C01B66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7E7F3F">
      <w:pPr>
        <w:rPr>
          <w:rStyle w:val="Strong"/>
          <w:b w:val="0"/>
          <w:bCs w:val="0"/>
          <w:lang w:val="sr-Cyrl-BA"/>
        </w:rPr>
      </w:pPr>
    </w:p>
    <w:p w:rsidR="00A27AA1" w:rsidRDefault="00A27AA1" w:rsidP="00A27AA1">
      <w:pPr>
        <w:rPr>
          <w:lang w:val="pl-PL"/>
        </w:rPr>
      </w:pPr>
      <w:r>
        <w:rPr>
          <w:noProof/>
        </w:rPr>
        <w:t>Na temelju člank</w:t>
      </w:r>
      <w:r>
        <w:rPr>
          <w:noProof/>
          <w:lang w:val="bs-Latn-BA"/>
        </w:rPr>
        <w:t>a</w:t>
      </w:r>
      <w:r>
        <w:rPr>
          <w:noProof/>
        </w:rPr>
        <w:t xml:space="preserve"> </w:t>
      </w:r>
      <w:r>
        <w:rPr>
          <w:noProof/>
          <w:lang w:val="bs-Latn-BA"/>
        </w:rPr>
        <w:t>2. točke 3. pod a.</w:t>
      </w:r>
      <w:r>
        <w:rPr>
          <w:noProof/>
        </w:rPr>
        <w:t xml:space="preserve"> Zakona o Centralnoj banci Bosne i Hercegovine (“Službeni glasnik BiH”, 1/97, 29/02, 13/03, 14/03, 9/05, 76/06 i 32/07)</w:t>
      </w:r>
      <w:r>
        <w:rPr>
          <w:noProof/>
          <w:lang w:val="bs-Latn-BA"/>
        </w:rPr>
        <w:t xml:space="preserve"> i članka </w:t>
      </w:r>
      <w:r>
        <w:rPr>
          <w:lang w:val="pl-PL"/>
        </w:rPr>
        <w:t xml:space="preserve">52. </w:t>
      </w:r>
      <w:r>
        <w:rPr>
          <w:lang w:val="pl-PL"/>
        </w:rPr>
        <w:lastRenderedPageBreak/>
        <w:t>Pravilnika Centralne banke Bosne i Hercegovine, UV broj: 120/05 od 29. lipnja 2005. godine</w:t>
      </w:r>
      <w:r>
        <w:rPr>
          <w:lang w:val="bs-Latn-BA"/>
        </w:rPr>
        <w:t xml:space="preserve">, </w:t>
      </w:r>
      <w:r>
        <w:rPr>
          <w:noProof/>
        </w:rPr>
        <w:t>100-UV broj: 66/10 od 29. travnja 2010. godine i 100-UV broj: 130/11 od 30. ožujka 2011. godine</w:t>
      </w:r>
      <w:r>
        <w:rPr>
          <w:lang w:val="pl-PL"/>
        </w:rPr>
        <w:t xml:space="preserve">, Upravno vijeće Centralne banke Bosne i Hercegovine na </w:t>
      </w:r>
      <w:r>
        <w:rPr>
          <w:lang w:val="bs-Latn-BA"/>
        </w:rPr>
        <w:t>11</w:t>
      </w:r>
      <w:r>
        <w:rPr>
          <w:lang w:val="pl-PL"/>
        </w:rPr>
        <w:t xml:space="preserve">. sjednici od </w:t>
      </w:r>
      <w:r>
        <w:rPr>
          <w:lang w:val="bs-Latn-BA"/>
        </w:rPr>
        <w:t xml:space="preserve">22. prosinca </w:t>
      </w:r>
      <w:r>
        <w:rPr>
          <w:lang w:val="pl-PL"/>
        </w:rPr>
        <w:t>20</w:t>
      </w:r>
      <w:r>
        <w:rPr>
          <w:lang w:val="bs-Latn-BA"/>
        </w:rPr>
        <w:t>11</w:t>
      </w:r>
      <w:r>
        <w:rPr>
          <w:lang w:val="pl-PL"/>
        </w:rPr>
        <w:t xml:space="preserve">. godine donijelo je 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jc w:val="center"/>
        <w:rPr>
          <w:lang w:val="bs-Latn-BA"/>
        </w:rPr>
      </w:pPr>
      <w:r>
        <w:rPr>
          <w:lang w:val="bs-Latn-BA"/>
        </w:rPr>
        <w:t>ODLUKU</w:t>
      </w:r>
    </w:p>
    <w:p w:rsidR="00A27AA1" w:rsidRDefault="00A27AA1" w:rsidP="00A27AA1">
      <w:pPr>
        <w:jc w:val="center"/>
        <w:rPr>
          <w:lang w:val="bs-Latn-BA"/>
        </w:rPr>
      </w:pPr>
      <w:r>
        <w:rPr>
          <w:lang w:val="bs-Latn-BA"/>
        </w:rPr>
        <w:t>o utvrđivanju tečajne liste Centralne banke Bosne i Hercegovine</w:t>
      </w:r>
    </w:p>
    <w:p w:rsidR="00A27AA1" w:rsidRDefault="00A27AA1" w:rsidP="00A27AA1"/>
    <w:p w:rsidR="00A27AA1" w:rsidRDefault="00A27AA1" w:rsidP="00A27AA1">
      <w:pPr>
        <w:rPr>
          <w:color w:val="000000"/>
        </w:rPr>
      </w:pPr>
    </w:p>
    <w:p w:rsidR="00A27AA1" w:rsidRDefault="00A27AA1" w:rsidP="00A27AA1">
      <w:pPr>
        <w:rPr>
          <w:color w:val="000000"/>
        </w:rPr>
      </w:pPr>
      <w:r>
        <w:rPr>
          <w:color w:val="000000"/>
        </w:rPr>
        <w:t>1. Ovom odlukom Centralna banka Bosne i Hercegovine (u daljem tekstu: Centralna banka) utvrđuje tečajnu listu Centralne banke Bosne i Hercegovine (u daljem tekstu: tečajna lista).</w:t>
      </w:r>
    </w:p>
    <w:p w:rsidR="00A27AA1" w:rsidRDefault="00A27AA1" w:rsidP="00A27AA1">
      <w:pPr>
        <w:rPr>
          <w:color w:val="FF0000"/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  <w:r>
        <w:rPr>
          <w:lang w:val="bs-Latn-BA"/>
        </w:rPr>
        <w:t xml:space="preserve">2. </w:t>
      </w:r>
      <w:r>
        <w:t xml:space="preserve">Na tečajnoj listi se </w:t>
      </w:r>
      <w:r>
        <w:rPr>
          <w:lang w:val="bs-Latn-BA"/>
        </w:rPr>
        <w:t xml:space="preserve">iskazuju </w:t>
      </w:r>
      <w:r>
        <w:t>najznačajnije svjetske valute</w:t>
      </w:r>
      <w:r>
        <w:rPr>
          <w:lang w:val="bs-Latn-BA"/>
        </w:rPr>
        <w:t>,</w:t>
      </w:r>
      <w:r>
        <w:t xml:space="preserve"> valute </w:t>
      </w:r>
      <w:r>
        <w:rPr>
          <w:lang w:val="bs-Latn-BA"/>
        </w:rPr>
        <w:t>država</w:t>
      </w:r>
      <w:r>
        <w:t xml:space="preserve"> čije banke vrše zamjenu </w:t>
      </w:r>
      <w:r>
        <w:rPr>
          <w:lang w:val="bs-Latn-BA"/>
        </w:rPr>
        <w:t>konvertibilnih maraka (u daljem tekstu: KM)</w:t>
      </w:r>
      <w:r>
        <w:t xml:space="preserve"> i vrijednost specijalnih prava vučenja (SDR </w:t>
      </w:r>
      <w:r>
        <w:rPr>
          <w:lang w:val="bs-Latn-BA"/>
        </w:rPr>
        <w:t>–</w:t>
      </w:r>
      <w:r>
        <w:t xml:space="preserve"> special drawing rights)</w:t>
      </w:r>
      <w:r>
        <w:rPr>
          <w:lang w:val="bs-Latn-BA"/>
        </w:rPr>
        <w:t>, kako slijedi: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pStyle w:val="Heading1"/>
      </w:pPr>
      <w:r>
        <w:t xml:space="preserve">Država                    Naziv valute               Oznaka valute          Šifra             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ind w:left="6120" w:hanging="6120"/>
        <w:rPr>
          <w:lang w:val="bs-Latn-BA"/>
        </w:rPr>
      </w:pPr>
      <w:r>
        <w:rPr>
          <w:lang w:val="bs-Latn-BA"/>
        </w:rPr>
        <w:t xml:space="preserve">EMU                      EUR                                   EUR                    978 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Australija              Australski dolar                  AUD                    036 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Kanada                  Kanadski dolar                   CAD                    124 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Hrvatska                Hrvatska kuna                    HRK                    191                </w:t>
      </w:r>
    </w:p>
    <w:p w:rsidR="00A27AA1" w:rsidRDefault="00A27AA1" w:rsidP="00A27AA1">
      <w:pPr>
        <w:ind w:left="6120" w:hanging="6120"/>
        <w:rPr>
          <w:lang w:val="bs-Latn-BA"/>
        </w:rPr>
      </w:pPr>
      <w:r>
        <w:rPr>
          <w:lang w:val="bs-Latn-BA"/>
        </w:rPr>
        <w:t xml:space="preserve">Češka R                 Češka kruna                       CZK                     203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Danska                  Danska kruna                     DKK                    208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Mađarska               Mađarska forinta               HUF                     348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Japan                     Japanski jen                        JPY                      392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>Litva                      Litvan</w:t>
      </w:r>
      <w:r w:rsidR="008C50E7">
        <w:rPr>
          <w:lang w:val="bs-Latn-BA"/>
        </w:rPr>
        <w:t>s</w:t>
      </w:r>
      <w:r>
        <w:rPr>
          <w:lang w:val="bs-Latn-BA"/>
        </w:rPr>
        <w:t xml:space="preserve">ka lita                   LTL                      440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Norveška               Norveška kruna                  NOK                    578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Švedska                 Švedska kruna                    SEK                     752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Švicarska               Švicarski franak                 CHF                     756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Turska                   Turska lira                          TRY                     949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V. Britanija           Britanska funta                   GBP                     826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SAD                      Američki dolar                   USD                     840 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Rusija                    Ruska rublja                       RUB                     643                 </w:t>
      </w:r>
    </w:p>
    <w:p w:rsidR="00A27AA1" w:rsidRDefault="00A27AA1" w:rsidP="00A27AA1">
      <w:pPr>
        <w:rPr>
          <w:lang w:val="bs-Latn-BA"/>
        </w:rPr>
      </w:pPr>
      <w:r>
        <w:rPr>
          <w:lang w:val="bs-Latn-BA"/>
        </w:rPr>
        <w:t xml:space="preserve">Srbija                     Srbijanski dinar                  RSD                     941                 </w:t>
      </w: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</w:pPr>
      <w:r>
        <w:rPr>
          <w:lang w:val="bs-Latn-BA"/>
        </w:rPr>
        <w:t>3. Pored valuta utvrđenih u t</w:t>
      </w:r>
      <w:r w:rsidR="008C50E7">
        <w:rPr>
          <w:lang w:val="bs-Latn-BA"/>
        </w:rPr>
        <w:t>o</w:t>
      </w:r>
      <w:r>
        <w:rPr>
          <w:lang w:val="bs-Latn-BA"/>
        </w:rPr>
        <w:t xml:space="preserve">čki 2. ove odluke, po odobrenju guvernera Centralne banke, na </w:t>
      </w:r>
      <w:r w:rsidR="008C50E7">
        <w:t xml:space="preserve"> tečajn</w:t>
      </w:r>
      <w:r>
        <w:rPr>
          <w:lang w:val="bs-Latn-BA"/>
        </w:rPr>
        <w:t>u</w:t>
      </w:r>
      <w:r>
        <w:t xml:space="preserve"> list</w:t>
      </w:r>
      <w:r>
        <w:rPr>
          <w:lang w:val="bs-Latn-BA"/>
        </w:rPr>
        <w:t>u se mogu uključiti i druge valute.</w:t>
      </w:r>
    </w:p>
    <w:p w:rsidR="00A27AA1" w:rsidRDefault="00A27AA1" w:rsidP="00A27AA1">
      <w:pPr>
        <w:rPr>
          <w:lang w:val="bs-Latn-BA"/>
        </w:rPr>
      </w:pPr>
    </w:p>
    <w:p w:rsidR="00A27AA1" w:rsidRDefault="00A27AA1" w:rsidP="00A27AA1">
      <w:pPr>
        <w:jc w:val="both"/>
      </w:pPr>
      <w:r>
        <w:rPr>
          <w:lang w:val="bs-Latn-BA"/>
        </w:rPr>
        <w:t xml:space="preserve">4. </w:t>
      </w:r>
      <w:r>
        <w:t xml:space="preserve">Kao </w:t>
      </w:r>
      <w:r>
        <w:rPr>
          <w:lang w:val="bs-Latn-BA"/>
        </w:rPr>
        <w:t>osnov</w:t>
      </w:r>
      <w:r w:rsidR="008C50E7">
        <w:rPr>
          <w:lang w:val="bs-Latn-BA"/>
        </w:rPr>
        <w:t>u</w:t>
      </w:r>
      <w:r>
        <w:t xml:space="preserve"> za utvrđivanje </w:t>
      </w:r>
      <w:r>
        <w:rPr>
          <w:lang w:val="bs-Latn-BA"/>
        </w:rPr>
        <w:t xml:space="preserve">odnosa stranih valuta prema KM, u obliku srednjeg </w:t>
      </w:r>
      <w:r w:rsidR="008C50E7">
        <w:rPr>
          <w:lang w:val="bs-Latn-BA"/>
        </w:rPr>
        <w:t>tečaja</w:t>
      </w:r>
      <w:r>
        <w:rPr>
          <w:lang w:val="bs-Latn-BA"/>
        </w:rPr>
        <w:t xml:space="preserve">, </w:t>
      </w:r>
      <w:r>
        <w:t>korist</w:t>
      </w:r>
      <w:r>
        <w:rPr>
          <w:lang w:val="bs-Latn-BA"/>
        </w:rPr>
        <w:t>e</w:t>
      </w:r>
      <w:r>
        <w:t xml:space="preserve"> se </w:t>
      </w:r>
      <w:r>
        <w:rPr>
          <w:lang w:val="bs-Latn-BA"/>
        </w:rPr>
        <w:t xml:space="preserve">srednje vrijednosti valuta utvrđene i iskazane na </w:t>
      </w:r>
      <w:r w:rsidR="008C50E7">
        <w:t>tečajnoj</w:t>
      </w:r>
      <w:r>
        <w:t xml:space="preserve"> list</w:t>
      </w:r>
      <w:r>
        <w:rPr>
          <w:lang w:val="bs-Latn-BA"/>
        </w:rPr>
        <w:t>i</w:t>
      </w:r>
      <w:r>
        <w:t xml:space="preserve"> E</w:t>
      </w:r>
      <w:r w:rsidR="008C50E7">
        <w:t>u</w:t>
      </w:r>
      <w:r>
        <w:t xml:space="preserve">ropske </w:t>
      </w:r>
      <w:r w:rsidR="008C50E7">
        <w:t>središnje</w:t>
      </w:r>
      <w:r>
        <w:t xml:space="preserve">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 xml:space="preserve">dok se za valute koje se </w:t>
      </w:r>
      <w:r>
        <w:t>ne nalaz</w:t>
      </w:r>
      <w:r>
        <w:rPr>
          <w:lang w:val="bs-Latn-BA"/>
        </w:rPr>
        <w:t>e</w:t>
      </w:r>
      <w:r>
        <w:t xml:space="preserve"> na </w:t>
      </w:r>
      <w:r w:rsidR="008C50E7">
        <w:t>tečajnoj</w:t>
      </w:r>
      <w:r>
        <w:t xml:space="preserve"> listi E</w:t>
      </w:r>
      <w:r w:rsidR="008C50E7">
        <w:t>u</w:t>
      </w:r>
      <w:r>
        <w:t xml:space="preserve">ropske </w:t>
      </w:r>
      <w:r w:rsidR="008C50E7">
        <w:t>središnje</w:t>
      </w:r>
      <w:r>
        <w:t xml:space="preserve"> banke</w:t>
      </w:r>
      <w:r>
        <w:rPr>
          <w:lang w:val="bs-Latn-BA"/>
        </w:rPr>
        <w:t>,</w:t>
      </w:r>
      <w:r>
        <w:t xml:space="preserve"> </w:t>
      </w:r>
      <w:r>
        <w:rPr>
          <w:lang w:val="bs-Latn-BA"/>
        </w:rPr>
        <w:t>utvrđivanje odnosa tih valuta prema KM vrši</w:t>
      </w:r>
      <w:r>
        <w:t xml:space="preserve"> na osnov</w:t>
      </w:r>
      <w:r w:rsidR="008C50E7">
        <w:t>i</w:t>
      </w:r>
      <w:r>
        <w:t xml:space="preserve"> </w:t>
      </w:r>
      <w:r>
        <w:rPr>
          <w:lang w:val="bs-Latn-BA"/>
        </w:rPr>
        <w:t xml:space="preserve">zvaničnog </w:t>
      </w:r>
      <w:r w:rsidR="008C50E7">
        <w:rPr>
          <w:lang w:val="bs-Latn-BA"/>
        </w:rPr>
        <w:t>tečaja</w:t>
      </w:r>
      <w:r>
        <w:rPr>
          <w:lang w:val="bs-Latn-BA"/>
        </w:rPr>
        <w:t xml:space="preserve"> tih valuta</w:t>
      </w:r>
      <w:r>
        <w:t xml:space="preserve"> prema </w:t>
      </w:r>
      <w:r>
        <w:rPr>
          <w:lang w:val="bs-Latn-BA"/>
        </w:rPr>
        <w:t>KM ili EUR</w:t>
      </w:r>
      <w:r>
        <w:t xml:space="preserve"> </w:t>
      </w:r>
      <w:r>
        <w:rPr>
          <w:lang w:val="bs-Latn-BA"/>
        </w:rPr>
        <w:t xml:space="preserve">utvrđenog od strane </w:t>
      </w:r>
      <w:r w:rsidR="008C50E7">
        <w:rPr>
          <w:lang w:val="bs-Latn-BA"/>
        </w:rPr>
        <w:t>središnje</w:t>
      </w:r>
      <w:r>
        <w:rPr>
          <w:lang w:val="bs-Latn-BA"/>
        </w:rPr>
        <w:t xml:space="preserve"> banke države o čijoj se valuti radi.</w:t>
      </w: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t xml:space="preserve">5. </w:t>
      </w:r>
      <w:r w:rsidR="008C50E7">
        <w:rPr>
          <w:noProof/>
        </w:rPr>
        <w:t>Tečajna</w:t>
      </w:r>
      <w:r>
        <w:rPr>
          <w:noProof/>
        </w:rPr>
        <w:t xml:space="preserve"> lista se izrađuje dnevno, označava se rednim brojem, nosi datum </w:t>
      </w:r>
      <w:r>
        <w:rPr>
          <w:noProof/>
          <w:lang w:val="bs-Latn-BA"/>
        </w:rPr>
        <w:t xml:space="preserve">početka primjene </w:t>
      </w:r>
      <w:r>
        <w:rPr>
          <w:noProof/>
        </w:rPr>
        <w:t xml:space="preserve">i primjenjuje se do izdavanja nove </w:t>
      </w:r>
      <w:r w:rsidR="008C50E7">
        <w:rPr>
          <w:noProof/>
        </w:rPr>
        <w:t>tečajne</w:t>
      </w:r>
      <w:r>
        <w:rPr>
          <w:noProof/>
        </w:rPr>
        <w:t xml:space="preserve"> liste. </w:t>
      </w:r>
      <w:r w:rsidR="008C50E7">
        <w:rPr>
          <w:noProof/>
        </w:rPr>
        <w:t>Tečajna</w:t>
      </w:r>
      <w:r>
        <w:rPr>
          <w:noProof/>
        </w:rPr>
        <w:t xml:space="preserve"> lista se objavljuje na internet stranici Centralne banke.</w:t>
      </w:r>
    </w:p>
    <w:p w:rsidR="00A27AA1" w:rsidRDefault="00A27AA1" w:rsidP="00A27AA1">
      <w:pPr>
        <w:jc w:val="both"/>
        <w:rPr>
          <w:noProof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t xml:space="preserve">6. </w:t>
      </w:r>
      <w:r>
        <w:rPr>
          <w:noProof/>
        </w:rPr>
        <w:t xml:space="preserve">Odnosi valuta na </w:t>
      </w:r>
      <w:r w:rsidR="008C50E7">
        <w:rPr>
          <w:noProof/>
        </w:rPr>
        <w:t>tečajno</w:t>
      </w:r>
      <w:r>
        <w:rPr>
          <w:noProof/>
        </w:rPr>
        <w:t xml:space="preserve">j listi se iskazuju u </w:t>
      </w:r>
      <w:r>
        <w:rPr>
          <w:noProof/>
          <w:lang w:val="bs-Latn-BA"/>
        </w:rPr>
        <w:t>KM</w:t>
      </w:r>
      <w:r>
        <w:rPr>
          <w:noProof/>
        </w:rPr>
        <w:t xml:space="preserve">, zaokruženjem na šest cifara iza decimalnog zareza. </w:t>
      </w:r>
    </w:p>
    <w:p w:rsidR="00A27AA1" w:rsidRDefault="00A27AA1" w:rsidP="00A27AA1">
      <w:pPr>
        <w:jc w:val="both"/>
        <w:rPr>
          <w:noProof/>
        </w:rPr>
      </w:pPr>
    </w:p>
    <w:p w:rsidR="00A27AA1" w:rsidRDefault="00A27AA1" w:rsidP="00A27AA1">
      <w:pPr>
        <w:jc w:val="both"/>
        <w:rPr>
          <w:noProof/>
        </w:rPr>
      </w:pPr>
      <w:r>
        <w:rPr>
          <w:noProof/>
          <w:lang w:val="bs-Latn-BA"/>
        </w:rPr>
        <w:t xml:space="preserve">7. </w:t>
      </w:r>
      <w:r w:rsidR="008C50E7">
        <w:rPr>
          <w:noProof/>
          <w:lang w:val="bs-Latn-BA"/>
        </w:rPr>
        <w:t>Tečajevi</w:t>
      </w:r>
      <w:r>
        <w:rPr>
          <w:noProof/>
        </w:rPr>
        <w:t xml:space="preserve"> se utvrđuju i iskazuju kao kupovni, srednji i prodajni. Kupovni </w:t>
      </w:r>
      <w:r w:rsidR="008C50E7">
        <w:rPr>
          <w:noProof/>
        </w:rPr>
        <w:t>tečajevi</w:t>
      </w:r>
      <w:r>
        <w:rPr>
          <w:noProof/>
        </w:rPr>
        <w:t xml:space="preserve"> svih valuta, izuzev eura, se utvrđuju odbijanjem 2,5 promila od vrijednosti srednjeg </w:t>
      </w:r>
      <w:r w:rsidR="008C50E7">
        <w:rPr>
          <w:noProof/>
        </w:rPr>
        <w:t>tečaja</w:t>
      </w:r>
      <w:r>
        <w:rPr>
          <w:noProof/>
        </w:rPr>
        <w:t xml:space="preserve"> valute dok se prodajni </w:t>
      </w:r>
      <w:r w:rsidR="008C50E7">
        <w:rPr>
          <w:noProof/>
        </w:rPr>
        <w:t>tečajevi</w:t>
      </w:r>
      <w:r>
        <w:rPr>
          <w:noProof/>
        </w:rPr>
        <w:t xml:space="preserve"> utvrđuju dodavanjem 2,5 promila na vrijednost srednjeg </w:t>
      </w:r>
      <w:r w:rsidR="008C50E7">
        <w:rPr>
          <w:noProof/>
        </w:rPr>
        <w:t>tečaja</w:t>
      </w:r>
      <w:r>
        <w:rPr>
          <w:noProof/>
        </w:rPr>
        <w:t xml:space="preserve"> valute. </w:t>
      </w:r>
    </w:p>
    <w:p w:rsidR="00A27AA1" w:rsidRDefault="00A27AA1" w:rsidP="00A27AA1">
      <w:pPr>
        <w:jc w:val="both"/>
        <w:rPr>
          <w:noProof/>
        </w:rPr>
      </w:pPr>
    </w:p>
    <w:p w:rsidR="00A27AA1" w:rsidRPr="00A46DD8" w:rsidRDefault="00A27AA1" w:rsidP="00A27AA1">
      <w:pPr>
        <w:pStyle w:val="BodyText3"/>
        <w:rPr>
          <w:color w:val="000000"/>
          <w:sz w:val="24"/>
          <w:szCs w:val="24"/>
          <w:lang w:val="it-IT"/>
        </w:rPr>
      </w:pPr>
      <w:r w:rsidRPr="00A46DD8">
        <w:rPr>
          <w:color w:val="000000"/>
          <w:sz w:val="24"/>
          <w:szCs w:val="24"/>
        </w:rPr>
        <w:t>8</w:t>
      </w:r>
      <w:r w:rsidRPr="00A46DD8">
        <w:rPr>
          <w:color w:val="000000"/>
          <w:sz w:val="24"/>
          <w:szCs w:val="24"/>
          <w:lang w:val="it-IT"/>
        </w:rPr>
        <w:t xml:space="preserve">. Ova odluka stupa na snagu 1. </w:t>
      </w:r>
      <w:r w:rsidR="008C50E7">
        <w:rPr>
          <w:color w:val="000000"/>
          <w:sz w:val="24"/>
          <w:szCs w:val="24"/>
          <w:lang w:val="it-IT"/>
        </w:rPr>
        <w:t>siječnja</w:t>
      </w:r>
      <w:r w:rsidRPr="00A46DD8">
        <w:rPr>
          <w:color w:val="000000"/>
          <w:sz w:val="24"/>
          <w:szCs w:val="24"/>
          <w:lang w:val="it-IT"/>
        </w:rPr>
        <w:t xml:space="preserve"> 20</w:t>
      </w:r>
      <w:r w:rsidRPr="00A46DD8">
        <w:rPr>
          <w:color w:val="000000"/>
          <w:sz w:val="24"/>
          <w:szCs w:val="24"/>
        </w:rPr>
        <w:t>12</w:t>
      </w:r>
      <w:r w:rsidRPr="00A46DD8">
        <w:rPr>
          <w:color w:val="000000"/>
          <w:sz w:val="24"/>
          <w:szCs w:val="24"/>
          <w:lang w:val="it-IT"/>
        </w:rPr>
        <w:t>. godine.</w:t>
      </w:r>
    </w:p>
    <w:p w:rsidR="00A27AA1" w:rsidRDefault="00A27AA1" w:rsidP="00A27AA1">
      <w:pPr>
        <w:jc w:val="center"/>
        <w:rPr>
          <w:lang w:val="it-IT"/>
        </w:rPr>
      </w:pPr>
    </w:p>
    <w:p w:rsidR="00A27AA1" w:rsidRDefault="00A27AA1" w:rsidP="00A27AA1">
      <w:pPr>
        <w:jc w:val="both"/>
        <w:rPr>
          <w:lang w:val="it-IT"/>
        </w:rPr>
      </w:pPr>
      <w:r>
        <w:rPr>
          <w:lang w:val="bs-Latn-BA"/>
        </w:rPr>
        <w:t xml:space="preserve">9. </w:t>
      </w:r>
      <w:r>
        <w:rPr>
          <w:lang w:val="it-IT"/>
        </w:rPr>
        <w:t xml:space="preserve">Ova odluka će se objaviti </w:t>
      </w:r>
      <w:r>
        <w:rPr>
          <w:lang w:val="bs-Latn-BA"/>
        </w:rPr>
        <w:t xml:space="preserve">u </w:t>
      </w:r>
      <w:r>
        <w:rPr>
          <w:lang w:val="it-IT"/>
        </w:rPr>
        <w:t>“</w:t>
      </w:r>
      <w:r>
        <w:rPr>
          <w:lang w:val="bs-Latn-BA"/>
        </w:rPr>
        <w:t>Službenom glasniku BiH</w:t>
      </w:r>
      <w:r>
        <w:rPr>
          <w:lang w:val="it-IT"/>
        </w:rPr>
        <w:t>”</w:t>
      </w:r>
      <w:r>
        <w:rPr>
          <w:lang w:val="bs-Latn-BA"/>
        </w:rPr>
        <w:t>,</w:t>
      </w:r>
      <w:r>
        <w:rPr>
          <w:lang w:val="it-IT"/>
        </w:rPr>
        <w:t xml:space="preserve"> “Službenim novinama Federacije BiH”, “Službenom glasniku Republike Srpske” i “Službenom glasniku Brčko distrikta BiH”. </w:t>
      </w: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jc w:val="both"/>
        <w:rPr>
          <w:lang w:val="bs-Latn-BA"/>
        </w:rPr>
      </w:pPr>
    </w:p>
    <w:p w:rsidR="00A27AA1" w:rsidRDefault="00A27AA1" w:rsidP="00A27AA1">
      <w:pPr>
        <w:ind w:hanging="180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lang w:val="bs-Latn-BA"/>
        </w:rPr>
        <w:t xml:space="preserve">  </w:t>
      </w:r>
      <w:r>
        <w:rPr>
          <w:b/>
          <w:bCs/>
        </w:rPr>
        <w:t xml:space="preserve">100-UV broj: </w:t>
      </w:r>
      <w:r>
        <w:rPr>
          <w:b/>
          <w:bCs/>
          <w:lang w:val="bs-Latn-BA"/>
        </w:rPr>
        <w:t>235/11</w:t>
      </w:r>
      <w:r>
        <w:rPr>
          <w:b/>
          <w:bCs/>
        </w:rPr>
        <w:t xml:space="preserve">                                                  Predsjeda</w:t>
      </w:r>
      <w:r w:rsidR="008C50E7">
        <w:rPr>
          <w:b/>
          <w:bCs/>
        </w:rPr>
        <w:t>telj</w:t>
      </w: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lang w:val="bs-Latn-BA"/>
        </w:rPr>
        <w:t>22</w:t>
      </w:r>
      <w:r>
        <w:rPr>
          <w:b/>
          <w:bCs/>
        </w:rPr>
        <w:t xml:space="preserve">. </w:t>
      </w:r>
      <w:r w:rsidR="008C50E7">
        <w:rPr>
          <w:b/>
          <w:bCs/>
        </w:rPr>
        <w:t>prosinca</w:t>
      </w:r>
      <w:r>
        <w:rPr>
          <w:b/>
          <w:bCs/>
        </w:rPr>
        <w:t xml:space="preserve"> 201</w:t>
      </w:r>
      <w:r>
        <w:rPr>
          <w:b/>
          <w:bCs/>
          <w:lang w:val="bs-Latn-BA"/>
        </w:rPr>
        <w:t>1</w:t>
      </w:r>
      <w:r>
        <w:rPr>
          <w:b/>
          <w:bCs/>
        </w:rPr>
        <w:t xml:space="preserve">. godine </w:t>
      </w:r>
      <w:r>
        <w:rPr>
          <w:b/>
          <w:bCs/>
          <w:lang w:val="bs-Latn-BA"/>
        </w:rPr>
        <w:t xml:space="preserve"> </w:t>
      </w:r>
      <w:r>
        <w:rPr>
          <w:b/>
          <w:bCs/>
        </w:rPr>
        <w:t xml:space="preserve">                              Upravnog vijeća Centralne banke</w:t>
      </w: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         S a r a j e v o                                                           Bosne i Hercegovine</w:t>
      </w:r>
    </w:p>
    <w:p w:rsidR="00A27AA1" w:rsidRDefault="00A27AA1" w:rsidP="00A27AA1">
      <w:pPr>
        <w:jc w:val="both"/>
        <w:rPr>
          <w:b/>
          <w:bCs/>
        </w:rPr>
      </w:pPr>
    </w:p>
    <w:p w:rsidR="00A27AA1" w:rsidRDefault="00A27AA1" w:rsidP="00A27AA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GUVERNER</w:t>
      </w:r>
    </w:p>
    <w:p w:rsidR="00A27AA1" w:rsidRDefault="00A27AA1" w:rsidP="00A27AA1">
      <w:pPr>
        <w:jc w:val="both"/>
        <w:rPr>
          <w:lang w:val="bs-Latn-BA"/>
        </w:rPr>
      </w:pPr>
      <w:r>
        <w:rPr>
          <w:b/>
          <w:bCs/>
        </w:rPr>
        <w:t xml:space="preserve">                                                                                             dr. Kemal Kozarić</w:t>
      </w:r>
    </w:p>
    <w:p w:rsidR="00A27AA1" w:rsidRPr="00A27AA1" w:rsidRDefault="00A27AA1" w:rsidP="007E7F3F">
      <w:pPr>
        <w:rPr>
          <w:rStyle w:val="Strong"/>
          <w:b w:val="0"/>
          <w:bCs w:val="0"/>
          <w:lang w:val="bs-Latn-BA"/>
        </w:rPr>
      </w:pPr>
    </w:p>
    <w:sectPr w:rsidR="00A27AA1" w:rsidRPr="00A27AA1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534A1"/>
    <w:rsid w:val="00182B4E"/>
    <w:rsid w:val="00186CE2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7645A"/>
    <w:rsid w:val="005A2240"/>
    <w:rsid w:val="005A43FC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C50E7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27AA1"/>
    <w:rsid w:val="00A46DD8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A3337"/>
    <w:rsid w:val="00BF4A05"/>
    <w:rsid w:val="00BF5C59"/>
    <w:rsid w:val="00BF648B"/>
    <w:rsid w:val="00C01B66"/>
    <w:rsid w:val="00C67D4D"/>
    <w:rsid w:val="00C8770D"/>
    <w:rsid w:val="00CA0FA2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A72AB"/>
    <w:rsid w:val="00FC4783"/>
    <w:rsid w:val="00FE2599"/>
    <w:rsid w:val="00FE518C"/>
    <w:rsid w:val="00FE58ED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9B01F8-1363-4EC6-81F9-7947F4D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A0F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CA0F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0F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0FA2"/>
    <w:rPr>
      <w:rFonts w:ascii="Times New Roman" w:eastAsia="Times New Roman" w:hAnsi="Times New Roman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6</cp:revision>
  <cp:lastPrinted>2016-06-21T13:04:00Z</cp:lastPrinted>
  <dcterms:created xsi:type="dcterms:W3CDTF">2017-01-13T10:13:00Z</dcterms:created>
  <dcterms:modified xsi:type="dcterms:W3CDTF">2017-01-17T08:58:00Z</dcterms:modified>
</cp:coreProperties>
</file>